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黑体" w:hAnsi="黑体" w:eastAsia="黑体"/>
          <w:sz w:val="32"/>
          <w:szCs w:val="32"/>
        </w:rPr>
      </w:pPr>
    </w:p>
    <w:p>
      <w:pPr>
        <w:jc w:val="center"/>
        <w:rPr>
          <w:rFonts w:hint="eastAsia" w:ascii="方正小标宋_GBK" w:hAnsi="宋体" w:eastAsia="方正小标宋_GBK"/>
          <w:sz w:val="44"/>
          <w:szCs w:val="44"/>
        </w:rPr>
      </w:pPr>
    </w:p>
    <w:p>
      <w:pPr>
        <w:jc w:val="center"/>
        <w:rPr>
          <w:rFonts w:hint="eastAsia" w:ascii="方正小标宋_GBK" w:hAnsi="宋体" w:eastAsia="方正小标宋_GBK"/>
          <w:sz w:val="44"/>
          <w:szCs w:val="44"/>
        </w:rPr>
      </w:pPr>
      <w:r>
        <w:rPr>
          <w:rFonts w:hint="eastAsia" w:ascii="方正小标宋_GBK" w:hAnsi="宋体" w:eastAsia="方正小标宋_GBK"/>
          <w:sz w:val="44"/>
          <w:szCs w:val="44"/>
        </w:rPr>
        <w:t>木垒哈萨克自治县东城镇中心学校</w:t>
      </w:r>
    </w:p>
    <w:p>
      <w:pPr>
        <w:jc w:val="center"/>
        <w:rPr>
          <w:rFonts w:hint="eastAsia" w:ascii="方正小标宋_GBK" w:hAnsi="宋体" w:eastAsia="方正小标宋_GBK"/>
          <w:sz w:val="44"/>
          <w:szCs w:val="44"/>
        </w:rPr>
      </w:pPr>
      <w:r>
        <w:rPr>
          <w:rFonts w:hint="eastAsia" w:ascii="方正小标宋_GBK" w:hAnsi="宋体" w:eastAsia="方正小标宋_GBK"/>
          <w:sz w:val="44"/>
          <w:szCs w:val="44"/>
        </w:rPr>
        <w:t>2023年度部门决算</w:t>
      </w:r>
    </w:p>
    <w:p>
      <w:pPr>
        <w:jc w:val="center"/>
        <w:rPr>
          <w:rFonts w:hint="eastAsia" w:ascii="方正小标宋_GBK" w:hAnsi="宋体" w:eastAsia="方正小标宋_GBK"/>
          <w:sz w:val="44"/>
          <w:szCs w:val="44"/>
        </w:rPr>
      </w:pPr>
      <w:r>
        <w:rPr>
          <w:rFonts w:hint="eastAsia" w:ascii="方正小标宋_GBK" w:hAnsi="宋体" w:eastAsia="方正小标宋_GBK"/>
          <w:sz w:val="44"/>
          <w:szCs w:val="44"/>
        </w:rPr>
        <w:t>公开说明</w:t>
      </w:r>
    </w:p>
    <w:p>
      <w:pPr>
        <w:rPr>
          <w:rFonts w:hint="eastAsia" w:ascii="方正小标宋_GBK" w:hAnsi="宋体" w:eastAsia="方正小标宋_GBK"/>
          <w:sz w:val="44"/>
          <w:szCs w:val="44"/>
        </w:rPr>
      </w:pPr>
      <w:r>
        <w:rPr>
          <w:rFonts w:hint="eastAsia" w:ascii="方正小标宋_GBK" w:hAnsi="宋体" w:eastAsia="方正小标宋_GBK"/>
          <w:sz w:val="44"/>
          <w:szCs w:val="44"/>
        </w:rPr>
        <w:br w:type="page"/>
      </w:r>
    </w:p>
    <w:p>
      <w:pPr>
        <w:jc w:val="center"/>
        <w:rPr>
          <w:rFonts w:hint="eastAsia" w:ascii="仿宋_GB2312" w:hAnsi="仿宋_GB2312" w:eastAsia="仿宋_GB2312" w:cs="仿宋_GB2312"/>
          <w:bCs/>
          <w:kern w:val="0"/>
          <w:sz w:val="32"/>
          <w:szCs w:val="32"/>
        </w:rPr>
      </w:pPr>
      <w:r>
        <w:rPr>
          <w:rFonts w:hint="eastAsia" w:ascii="仿宋_GB2312" w:hAnsi="仿宋_GB2312" w:eastAsia="仿宋_GB2312" w:cs="仿宋_GB2312"/>
          <w:b/>
          <w:kern w:val="0"/>
          <w:sz w:val="36"/>
          <w:szCs w:val="36"/>
        </w:rPr>
        <w:t>目  录</w:t>
      </w:r>
    </w:p>
    <w:p>
      <w:pPr>
        <w:pStyle w:val="6"/>
        <w:tabs>
          <w:tab w:val="right" w:pos="8306"/>
        </w:tabs>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r>
        <w:rPr>
          <w:rFonts w:hint="eastAsia" w:ascii="仿宋_GB2312" w:hAnsi="仿宋_GB2312" w:eastAsia="仿宋_GB2312" w:cs="仿宋_GB2312"/>
          <w:sz w:val="32"/>
          <w:szCs w:val="32"/>
        </w:rPr>
        <w:fldChar w:fldCharType="end"/>
      </w:r>
    </w:p>
    <w:p>
      <w:pPr>
        <w:rPr>
          <w:rFonts w:ascii="仿宋_GB2312" w:eastAsia="仿宋_GB2312"/>
          <w:sz w:val="32"/>
          <w:szCs w:val="32"/>
        </w:rPr>
      </w:pPr>
      <w:r>
        <w:rPr>
          <w:rFonts w:hint="eastAsia" w:ascii="仿宋_GB2312" w:eastAsia="仿宋_GB2312"/>
          <w:sz w:val="32"/>
          <w:szCs w:val="32"/>
        </w:rPr>
        <w:br w:type="page"/>
      </w:r>
    </w:p>
    <w:p>
      <w:pPr>
        <w:jc w:val="center"/>
        <w:outlineLvl w:val="0"/>
        <w:rPr>
          <w:rFonts w:hint="eastAsia" w:ascii="黑体" w:hAnsi="黑体" w:eastAsia="黑体"/>
          <w:sz w:val="32"/>
          <w:szCs w:val="32"/>
        </w:rPr>
      </w:pPr>
      <w:bookmarkStart w:id="0" w:name="_Toc24028"/>
      <w:bookmarkStart w:id="1" w:name="_Toc32314"/>
      <w:r>
        <w:rPr>
          <w:rFonts w:hint="eastAsia" w:ascii="黑体" w:hAnsi="黑体" w:eastAsia="黑体"/>
          <w:sz w:val="32"/>
          <w:szCs w:val="32"/>
        </w:rPr>
        <w:t>第一部分 单位概况</w:t>
      </w:r>
      <w:bookmarkEnd w:id="0"/>
      <w:bookmarkEnd w:id="1"/>
    </w:p>
    <w:p>
      <w:pPr>
        <w:ind w:firstLine="640" w:firstLineChars="200"/>
        <w:outlineLvl w:val="1"/>
        <w:rPr>
          <w:rFonts w:hint="eastAsia" w:ascii="黑体" w:hAnsi="黑体" w:eastAsia="黑体" w:cs="宋体"/>
          <w:bCs/>
          <w:kern w:val="0"/>
          <w:sz w:val="32"/>
          <w:szCs w:val="32"/>
        </w:rPr>
      </w:pPr>
      <w:bookmarkStart w:id="2" w:name="_Toc30738"/>
      <w:bookmarkStart w:id="3" w:name="_Toc30567"/>
      <w:r>
        <w:rPr>
          <w:rFonts w:hint="eastAsia" w:ascii="黑体" w:hAnsi="黑体" w:eastAsia="黑体" w:cs="宋体"/>
          <w:bCs/>
          <w:kern w:val="0"/>
          <w:sz w:val="32"/>
          <w:szCs w:val="32"/>
        </w:rPr>
        <w:t>一、主要职能</w:t>
      </w:r>
      <w:bookmarkEnd w:id="2"/>
      <w:bookmarkEnd w:id="3"/>
    </w:p>
    <w:p>
      <w:pPr>
        <w:ind w:firstLine="640" w:firstLineChars="200"/>
        <w:rPr>
          <w:rFonts w:ascii="仿宋_GB2312" w:eastAsia="仿宋_GB2312"/>
          <w:sz w:val="32"/>
          <w:szCs w:val="32"/>
        </w:rPr>
      </w:pPr>
      <w:r>
        <w:rPr>
          <w:rFonts w:hint="eastAsia" w:ascii="仿宋_GB2312" w:eastAsia="仿宋_GB2312"/>
          <w:sz w:val="32"/>
          <w:szCs w:val="32"/>
        </w:rPr>
        <w:t>木垒哈萨克自治县东城镇中心学校的主要职能是：</w:t>
      </w:r>
    </w:p>
    <w:p>
      <w:pPr>
        <w:ind w:firstLine="640" w:firstLineChars="200"/>
        <w:rPr>
          <w:rFonts w:ascii="仿宋_GB2312" w:eastAsia="仿宋_GB2312"/>
          <w:sz w:val="32"/>
          <w:szCs w:val="32"/>
        </w:rPr>
      </w:pPr>
      <w:r>
        <w:rPr>
          <w:rFonts w:hint="eastAsia" w:ascii="仿宋_GB2312" w:eastAsia="仿宋_GB2312"/>
          <w:sz w:val="32"/>
          <w:szCs w:val="32"/>
        </w:rPr>
        <w:t>实施小学义务教育，促进基础教育发展，小学学历教育。</w:t>
      </w:r>
    </w:p>
    <w:p>
      <w:pPr>
        <w:ind w:firstLine="640" w:firstLineChars="200"/>
        <w:rPr>
          <w:rFonts w:ascii="仿宋_GB2312" w:eastAsia="仿宋_GB2312"/>
          <w:sz w:val="32"/>
          <w:szCs w:val="32"/>
        </w:rPr>
      </w:pPr>
      <w:r>
        <w:rPr>
          <w:rFonts w:hint="eastAsia" w:ascii="仿宋_GB2312" w:eastAsia="仿宋_GB2312"/>
          <w:sz w:val="32"/>
          <w:szCs w:val="32"/>
        </w:rPr>
        <w:t>木垒哈萨克自治县东城镇幼儿园负责为学龄前儿童提供保育和教育服务。以培养幼儿创新精神和实践动手能力为核心，结合主题活动的开展和区域环境的布置进一步增强幼儿动手操作的兴趣，给每个幼儿提供充分动脑动手的机会，孩子们在参与的过程中，主动的去思考、去实践，感受其中的乐趣。建构健康、平等、和谐的师幼环境，要求教师爱护、尊重、赏识每一个孩子，平等、宽容地对待每一个孩子，站在孩子的立场，积极鼓励孩子，努力使他们成为自信、活泼、健康、快乐的孩子。</w:t>
      </w:r>
    </w:p>
    <w:p>
      <w:pPr>
        <w:ind w:firstLine="640" w:firstLineChars="200"/>
        <w:outlineLvl w:val="1"/>
        <w:rPr>
          <w:rFonts w:hint="eastAsia" w:ascii="黑体" w:hAnsi="黑体" w:eastAsia="黑体" w:cs="宋体"/>
          <w:bCs/>
          <w:kern w:val="0"/>
          <w:sz w:val="32"/>
          <w:szCs w:val="32"/>
        </w:rPr>
      </w:pPr>
      <w:bookmarkStart w:id="4" w:name="_Toc31238"/>
      <w:bookmarkStart w:id="5" w:name="_Toc2151"/>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pPr>
        <w:ind w:firstLine="640" w:firstLineChars="200"/>
        <w:jc w:val="left"/>
        <w:rPr>
          <w:rFonts w:hint="eastAsia" w:ascii="仿宋_GB2312" w:hAnsi="仿宋_GB2312" w:eastAsia="仿宋_GB2312" w:cs="仿宋_GB2312"/>
          <w:b/>
          <w:sz w:val="32"/>
          <w:szCs w:val="32"/>
        </w:rPr>
      </w:pPr>
      <w:r>
        <w:rPr>
          <w:rFonts w:hint="eastAsia" w:ascii="仿宋_GB2312" w:eastAsia="仿宋_GB2312"/>
          <w:sz w:val="32"/>
          <w:szCs w:val="32"/>
        </w:rPr>
        <w:t>木垒哈萨克自治县东城镇中心学校2023年度，实有人数</w:t>
      </w:r>
      <w:r>
        <w:rPr>
          <w:rFonts w:hint="eastAsia" w:ascii="仿宋_GB2312" w:eastAsia="仿宋_GB2312"/>
          <w:sz w:val="32"/>
          <w:szCs w:val="32"/>
          <w:lang w:val="zh-CN"/>
        </w:rPr>
        <w:t>178</w:t>
      </w:r>
      <w:r>
        <w:rPr>
          <w:rFonts w:hint="eastAsia" w:ascii="仿宋_GB2312" w:eastAsia="仿宋_GB2312"/>
          <w:sz w:val="32"/>
          <w:szCs w:val="32"/>
        </w:rPr>
        <w:t>人，其中：在职人员</w:t>
      </w:r>
      <w:r>
        <w:rPr>
          <w:rFonts w:hint="eastAsia" w:ascii="仿宋_GB2312" w:eastAsia="仿宋_GB2312"/>
          <w:sz w:val="32"/>
          <w:szCs w:val="32"/>
          <w:lang w:val="zh-CN"/>
        </w:rPr>
        <w:t>76</w:t>
      </w:r>
      <w:r>
        <w:rPr>
          <w:rFonts w:hint="eastAsia" w:ascii="仿宋_GB2312" w:eastAsia="仿宋_GB2312"/>
          <w:sz w:val="32"/>
          <w:szCs w:val="32"/>
        </w:rPr>
        <w:t>人，离休人员</w:t>
      </w:r>
      <w:r>
        <w:rPr>
          <w:rFonts w:hint="eastAsia" w:ascii="仿宋_GB2312" w:eastAsia="仿宋_GB2312"/>
          <w:sz w:val="32"/>
          <w:szCs w:val="32"/>
          <w:lang w:val="zh-CN"/>
        </w:rPr>
        <w:t>0</w:t>
      </w:r>
      <w:r>
        <w:rPr>
          <w:rFonts w:hint="eastAsia" w:ascii="仿宋_GB2312" w:eastAsia="仿宋_GB2312"/>
          <w:sz w:val="32"/>
          <w:szCs w:val="32"/>
        </w:rPr>
        <w:t>人，退休人员</w:t>
      </w:r>
      <w:r>
        <w:rPr>
          <w:rFonts w:hint="eastAsia" w:ascii="仿宋_GB2312" w:eastAsia="仿宋_GB2312"/>
          <w:sz w:val="32"/>
          <w:szCs w:val="32"/>
          <w:lang w:val="zh-CN"/>
        </w:rPr>
        <w:t>102</w:t>
      </w:r>
      <w:r>
        <w:rPr>
          <w:rFonts w:hint="eastAsia" w:ascii="仿宋_GB2312" w:eastAsia="仿宋_GB2312"/>
          <w:sz w:val="32"/>
          <w:szCs w:val="32"/>
        </w:rPr>
        <w:t>人。</w:t>
      </w:r>
    </w:p>
    <w:p>
      <w:pPr>
        <w:ind w:firstLine="640" w:firstLineChars="200"/>
        <w:jc w:val="left"/>
        <w:outlineLvl w:val="0"/>
        <w:rPr>
          <w:rFonts w:hint="eastAsia" w:ascii="仿宋_GB2312" w:hAnsi="黑体" w:eastAsia="仿宋_GB2312" w:cs="宋体"/>
          <w:bCs/>
          <w:kern w:val="0"/>
          <w:sz w:val="32"/>
          <w:szCs w:val="32"/>
        </w:rPr>
      </w:pPr>
      <w:bookmarkStart w:id="6" w:name="_Toc3092"/>
      <w:bookmarkStart w:id="7" w:name="_Toc29374"/>
      <w:r>
        <w:rPr>
          <w:rFonts w:hint="eastAsia" w:ascii="仿宋_GB2312" w:hAnsi="黑体" w:eastAsia="仿宋_GB2312" w:cs="宋体"/>
          <w:bCs/>
          <w:kern w:val="0"/>
          <w:sz w:val="32"/>
          <w:szCs w:val="32"/>
        </w:rPr>
        <w:t>单位无下属预算单位，下设四个科室，分别是：教务室、德育室、财务室、总务室。</w:t>
      </w:r>
    </w:p>
    <w:p>
      <w:pPr>
        <w:widowControl/>
        <w:jc w:val="left"/>
        <w:rPr>
          <w:rFonts w:hint="eastAsia" w:ascii="黑体" w:hAnsi="黑体" w:eastAsia="黑体"/>
          <w:sz w:val="32"/>
          <w:szCs w:val="32"/>
        </w:rPr>
      </w:pPr>
      <w:r>
        <w:rPr>
          <w:rFonts w:hint="eastAsia" w:ascii="黑体" w:hAnsi="黑体" w:eastAsia="黑体"/>
          <w:sz w:val="32"/>
          <w:szCs w:val="32"/>
        </w:rPr>
        <w:br w:type="page"/>
      </w:r>
    </w:p>
    <w:p>
      <w:pPr>
        <w:jc w:val="center"/>
        <w:outlineLvl w:val="0"/>
        <w:rPr>
          <w:rFonts w:hint="eastAsia" w:ascii="黑体" w:hAnsi="黑体" w:eastAsia="黑体"/>
          <w:sz w:val="32"/>
          <w:szCs w:val="32"/>
        </w:rPr>
      </w:pPr>
      <w:r>
        <w:rPr>
          <w:rFonts w:hint="eastAsia" w:ascii="黑体" w:hAnsi="黑体" w:eastAsia="黑体"/>
          <w:sz w:val="32"/>
          <w:szCs w:val="32"/>
        </w:rPr>
        <w:t>第二部分 部门决算情况说明</w:t>
      </w:r>
      <w:bookmarkEnd w:id="6"/>
      <w:bookmarkEnd w:id="7"/>
    </w:p>
    <w:p>
      <w:pPr>
        <w:ind w:firstLine="640" w:firstLineChars="200"/>
        <w:outlineLvl w:val="1"/>
        <w:rPr>
          <w:rFonts w:hint="eastAsia" w:ascii="黑体" w:hAnsi="黑体" w:eastAsia="黑体" w:cs="宋体"/>
          <w:bCs/>
          <w:kern w:val="0"/>
          <w:sz w:val="32"/>
          <w:szCs w:val="32"/>
        </w:rPr>
      </w:pPr>
      <w:bookmarkStart w:id="8" w:name="_Toc12566"/>
      <w:bookmarkStart w:id="9" w:name="_Toc25314"/>
      <w:r>
        <w:rPr>
          <w:rFonts w:hint="eastAsia" w:ascii="黑体" w:hAnsi="黑体" w:eastAsia="黑体" w:cs="宋体"/>
          <w:bCs/>
          <w:kern w:val="0"/>
          <w:sz w:val="32"/>
          <w:szCs w:val="32"/>
        </w:rPr>
        <w:t>一、收入支出决算总体情况说明</w:t>
      </w:r>
      <w:bookmarkEnd w:id="8"/>
      <w:bookmarkEnd w:id="9"/>
    </w:p>
    <w:p>
      <w:pPr>
        <w:ind w:firstLine="640" w:firstLineChars="200"/>
        <w:jc w:val="left"/>
        <w:rPr>
          <w:rFonts w:ascii="仿宋_GB2312" w:eastAsia="仿宋_GB2312"/>
          <w:sz w:val="32"/>
          <w:szCs w:val="32"/>
        </w:rPr>
      </w:pPr>
      <w:r>
        <w:rPr>
          <w:rFonts w:hint="eastAsia" w:ascii="仿宋_GB2312" w:eastAsia="仿宋_GB2312"/>
          <w:sz w:val="32"/>
          <w:szCs w:val="32"/>
        </w:rPr>
        <w:t>2023年度收入总计1,771.30万元，其中：本年收入合计1,735.95万元，使用非财政拨款结余0.00万元，年初结转和结余35.35万元。</w:t>
      </w:r>
    </w:p>
    <w:p>
      <w:pPr>
        <w:ind w:firstLine="640" w:firstLineChars="200"/>
        <w:jc w:val="left"/>
        <w:rPr>
          <w:rFonts w:ascii="仿宋_GB2312" w:eastAsia="仿宋_GB2312"/>
          <w:sz w:val="32"/>
          <w:szCs w:val="32"/>
        </w:rPr>
      </w:pPr>
      <w:r>
        <w:rPr>
          <w:rFonts w:hint="eastAsia" w:ascii="仿宋_GB2312" w:eastAsia="仿宋_GB2312"/>
          <w:sz w:val="32"/>
          <w:szCs w:val="32"/>
        </w:rPr>
        <w:t>2023年度支出总计1,771.30万元，其中：本年支出合计1,736.74万元，结余分配0.00万元，年末结转和结余34.56万元。</w:t>
      </w:r>
    </w:p>
    <w:p>
      <w:pPr>
        <w:ind w:firstLine="640" w:firstLineChars="200"/>
        <w:jc w:val="left"/>
        <w:rPr>
          <w:rFonts w:ascii="仿宋_GB2312" w:eastAsia="仿宋_GB2312"/>
          <w:sz w:val="32"/>
          <w:szCs w:val="32"/>
        </w:rPr>
      </w:pPr>
      <w:r>
        <w:rPr>
          <w:rFonts w:hint="eastAsia" w:ascii="仿宋_GB2312" w:eastAsia="仿宋_GB2312"/>
          <w:sz w:val="32"/>
          <w:szCs w:val="32"/>
        </w:rPr>
        <w:t>收入支出总体与上年相比，</w:t>
      </w:r>
      <w:r>
        <w:rPr>
          <w:rFonts w:hint="eastAsia" w:ascii="仿宋_GB2312" w:eastAsia="仿宋_GB2312"/>
          <w:sz w:val="32"/>
          <w:szCs w:val="32"/>
          <w:lang w:val="zh-CN"/>
        </w:rPr>
        <w:t>增加62.31万元</w:t>
      </w:r>
      <w:r>
        <w:rPr>
          <w:rFonts w:hint="eastAsia" w:ascii="仿宋_GB2312" w:eastAsia="仿宋_GB2312"/>
          <w:sz w:val="32"/>
          <w:szCs w:val="32"/>
        </w:rPr>
        <w:t>，增长3.65%，主要原因是：单位本年教育系统取暖费增加。</w:t>
      </w:r>
    </w:p>
    <w:p>
      <w:pPr>
        <w:ind w:firstLine="640" w:firstLineChars="200"/>
        <w:jc w:val="left"/>
        <w:outlineLvl w:val="1"/>
        <w:rPr>
          <w:rFonts w:hint="eastAsia" w:ascii="黑体" w:hAnsi="黑体" w:eastAsia="黑体" w:cs="宋体"/>
          <w:bCs/>
          <w:kern w:val="0"/>
          <w:sz w:val="32"/>
          <w:szCs w:val="32"/>
        </w:rPr>
      </w:pPr>
      <w:bookmarkStart w:id="10" w:name="_Toc12142"/>
      <w:bookmarkStart w:id="11" w:name="_Toc1979"/>
      <w:r>
        <w:rPr>
          <w:rFonts w:hint="eastAsia" w:ascii="黑体" w:hAnsi="黑体" w:eastAsia="黑体" w:cs="宋体"/>
          <w:bCs/>
          <w:kern w:val="0"/>
          <w:sz w:val="32"/>
          <w:szCs w:val="32"/>
        </w:rPr>
        <w:t>二、收入决算情况说明</w:t>
      </w:r>
      <w:bookmarkEnd w:id="10"/>
      <w:bookmarkEnd w:id="11"/>
    </w:p>
    <w:p>
      <w:pPr>
        <w:ind w:firstLine="640" w:firstLineChars="200"/>
        <w:jc w:val="left"/>
        <w:rPr>
          <w:rFonts w:ascii="仿宋_GB2312" w:eastAsia="仿宋_GB2312"/>
          <w:sz w:val="32"/>
          <w:szCs w:val="32"/>
        </w:rPr>
      </w:pPr>
      <w:r>
        <w:rPr>
          <w:rFonts w:hint="eastAsia" w:ascii="仿宋_GB2312" w:eastAsia="仿宋_GB2312"/>
          <w:sz w:val="32"/>
          <w:szCs w:val="32"/>
        </w:rPr>
        <w:t>本年收入1,735.95万元，其中：财政拨款收入</w:t>
      </w:r>
      <w:r>
        <w:rPr>
          <w:rFonts w:hint="eastAsia" w:ascii="仿宋_GB2312" w:eastAsia="仿宋_GB2312"/>
          <w:sz w:val="32"/>
          <w:szCs w:val="32"/>
          <w:lang w:val="zh-CN"/>
        </w:rPr>
        <w:t>1,731.40</w:t>
      </w:r>
      <w:r>
        <w:rPr>
          <w:rFonts w:hint="eastAsia" w:ascii="仿宋_GB2312" w:eastAsia="仿宋_GB2312"/>
          <w:sz w:val="32"/>
          <w:szCs w:val="32"/>
        </w:rPr>
        <w:t>万元，占</w:t>
      </w:r>
      <w:r>
        <w:rPr>
          <w:rFonts w:hint="eastAsia" w:ascii="仿宋_GB2312" w:eastAsia="仿宋_GB2312"/>
          <w:sz w:val="32"/>
          <w:szCs w:val="32"/>
          <w:lang w:val="zh-CN"/>
        </w:rPr>
        <w:t>99.74</w:t>
      </w:r>
      <w:r>
        <w:rPr>
          <w:rFonts w:hint="eastAsia" w:ascii="仿宋_GB2312" w:eastAsia="仿宋_GB2312"/>
          <w:sz w:val="32"/>
          <w:szCs w:val="32"/>
        </w:rPr>
        <w:t>%；上级补助收入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%；事业收入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%；经营收入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%；附属单位上缴收入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%；其他收入</w:t>
      </w:r>
      <w:r>
        <w:rPr>
          <w:rFonts w:hint="eastAsia" w:ascii="仿宋_GB2312" w:eastAsia="仿宋_GB2312"/>
          <w:sz w:val="32"/>
          <w:szCs w:val="32"/>
          <w:lang w:val="zh-CN"/>
        </w:rPr>
        <w:t>4.55</w:t>
      </w:r>
      <w:r>
        <w:rPr>
          <w:rFonts w:hint="eastAsia" w:ascii="仿宋_GB2312" w:eastAsia="仿宋_GB2312"/>
          <w:sz w:val="32"/>
          <w:szCs w:val="32"/>
        </w:rPr>
        <w:t>万元，占</w:t>
      </w:r>
      <w:r>
        <w:rPr>
          <w:rFonts w:hint="eastAsia" w:ascii="仿宋_GB2312" w:eastAsia="仿宋_GB2312"/>
          <w:sz w:val="32"/>
          <w:szCs w:val="32"/>
          <w:lang w:val="zh-CN"/>
        </w:rPr>
        <w:t>0.26</w:t>
      </w:r>
      <w:r>
        <w:rPr>
          <w:rFonts w:hint="eastAsia" w:ascii="仿宋_GB2312" w:eastAsia="仿宋_GB2312"/>
          <w:sz w:val="32"/>
          <w:szCs w:val="32"/>
        </w:rPr>
        <w:t>%。</w:t>
      </w:r>
    </w:p>
    <w:p>
      <w:pPr>
        <w:ind w:firstLine="640" w:firstLineChars="200"/>
        <w:jc w:val="left"/>
        <w:outlineLvl w:val="1"/>
        <w:rPr>
          <w:rFonts w:hint="eastAsia" w:ascii="黑体" w:hAnsi="黑体" w:eastAsia="黑体" w:cs="宋体"/>
          <w:bCs/>
          <w:kern w:val="0"/>
          <w:sz w:val="32"/>
          <w:szCs w:val="32"/>
        </w:rPr>
      </w:pPr>
      <w:bookmarkStart w:id="12" w:name="_Toc27961"/>
      <w:bookmarkStart w:id="13" w:name="_Toc13201"/>
      <w:r>
        <w:rPr>
          <w:rFonts w:hint="eastAsia" w:ascii="黑体" w:hAnsi="黑体" w:eastAsia="黑体" w:cs="宋体"/>
          <w:bCs/>
          <w:kern w:val="0"/>
          <w:sz w:val="32"/>
          <w:szCs w:val="32"/>
        </w:rPr>
        <w:t>三、支出决算情况说明</w:t>
      </w:r>
      <w:bookmarkEnd w:id="12"/>
      <w:bookmarkEnd w:id="13"/>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本年支出1,736.74万元，其中：基本支出1,638.33万元，占94.33%；项目支出98.41万元，占5.67%；上缴上级支出0.00万元，占0.00%；经营支出0.00万元，占0.00%；对附属单位补助支出0.00万元，占0.00%。</w:t>
      </w:r>
    </w:p>
    <w:p>
      <w:pPr>
        <w:ind w:firstLine="640" w:firstLineChars="200"/>
        <w:jc w:val="left"/>
        <w:outlineLvl w:val="1"/>
        <w:rPr>
          <w:rFonts w:hint="eastAsia" w:ascii="黑体" w:hAnsi="黑体" w:eastAsia="黑体" w:cs="宋体"/>
          <w:bCs/>
          <w:kern w:val="0"/>
          <w:sz w:val="32"/>
          <w:szCs w:val="32"/>
        </w:rPr>
      </w:pPr>
      <w:bookmarkStart w:id="14" w:name="_Toc4393"/>
      <w:bookmarkStart w:id="15" w:name="_Toc26564"/>
      <w:r>
        <w:rPr>
          <w:rFonts w:hint="eastAsia" w:ascii="黑体" w:hAnsi="黑体" w:eastAsia="黑体" w:cs="宋体"/>
          <w:bCs/>
          <w:kern w:val="0"/>
          <w:sz w:val="32"/>
          <w:szCs w:val="32"/>
        </w:rPr>
        <w:t>四、财政拨款收入支出决算总体情况说明</w:t>
      </w:r>
      <w:bookmarkEnd w:id="14"/>
      <w:bookmarkEnd w:id="15"/>
    </w:p>
    <w:p>
      <w:pPr>
        <w:ind w:firstLine="640" w:firstLineChars="200"/>
        <w:jc w:val="left"/>
        <w:rPr>
          <w:rFonts w:ascii="仿宋_GB2312" w:eastAsia="仿宋_GB2312"/>
          <w:sz w:val="32"/>
          <w:szCs w:val="32"/>
        </w:rPr>
      </w:pPr>
      <w:r>
        <w:rPr>
          <w:rFonts w:hint="eastAsia" w:ascii="仿宋_GB2312" w:eastAsia="仿宋_GB2312"/>
          <w:sz w:val="32"/>
          <w:szCs w:val="32"/>
        </w:rPr>
        <w:t>2023年度财政拨款收入总计</w:t>
      </w:r>
      <w:r>
        <w:rPr>
          <w:rFonts w:hint="eastAsia" w:ascii="仿宋_GB2312" w:eastAsia="仿宋_GB2312"/>
          <w:sz w:val="32"/>
          <w:szCs w:val="32"/>
          <w:lang w:val="zh-CN"/>
        </w:rPr>
        <w:t>1,763.22</w:t>
      </w:r>
      <w:r>
        <w:rPr>
          <w:rFonts w:hint="eastAsia" w:ascii="仿宋_GB2312" w:eastAsia="仿宋_GB2312"/>
          <w:sz w:val="32"/>
          <w:szCs w:val="32"/>
        </w:rPr>
        <w:t>万元，其中：年初财政拨款结转和结余</w:t>
      </w:r>
      <w:r>
        <w:rPr>
          <w:rFonts w:hint="eastAsia" w:ascii="仿宋_GB2312" w:eastAsia="仿宋_GB2312"/>
          <w:sz w:val="32"/>
          <w:szCs w:val="32"/>
          <w:lang w:val="zh-CN"/>
        </w:rPr>
        <w:t>31.82</w:t>
      </w:r>
      <w:r>
        <w:rPr>
          <w:rFonts w:hint="eastAsia" w:ascii="仿宋_GB2312" w:eastAsia="仿宋_GB2312"/>
          <w:sz w:val="32"/>
          <w:szCs w:val="32"/>
        </w:rPr>
        <w:t>万元，本年财政拨款收入</w:t>
      </w:r>
      <w:r>
        <w:rPr>
          <w:rFonts w:hint="eastAsia" w:ascii="仿宋_GB2312" w:eastAsia="仿宋_GB2312"/>
          <w:sz w:val="32"/>
          <w:szCs w:val="32"/>
          <w:lang w:val="zh-CN"/>
        </w:rPr>
        <w:t>1,731.40</w:t>
      </w:r>
      <w:r>
        <w:rPr>
          <w:rFonts w:hint="eastAsia" w:ascii="仿宋_GB2312" w:eastAsia="仿宋_GB2312"/>
          <w:sz w:val="32"/>
          <w:szCs w:val="32"/>
        </w:rPr>
        <w:t>万元。财政拨款支出总计</w:t>
      </w:r>
      <w:r>
        <w:rPr>
          <w:rFonts w:hint="eastAsia" w:ascii="仿宋_GB2312" w:eastAsia="仿宋_GB2312"/>
          <w:sz w:val="32"/>
          <w:szCs w:val="32"/>
          <w:lang w:val="zh-CN"/>
        </w:rPr>
        <w:t>1,763.22</w:t>
      </w:r>
      <w:r>
        <w:rPr>
          <w:rFonts w:hint="eastAsia" w:ascii="仿宋_GB2312" w:eastAsia="仿宋_GB2312"/>
          <w:sz w:val="32"/>
          <w:szCs w:val="32"/>
        </w:rPr>
        <w:t>万元，其中：年末财政拨款结转和结余</w:t>
      </w:r>
      <w:r>
        <w:rPr>
          <w:rFonts w:hint="eastAsia" w:ascii="仿宋_GB2312" w:eastAsia="仿宋_GB2312"/>
          <w:sz w:val="32"/>
          <w:szCs w:val="32"/>
          <w:lang w:val="zh-CN"/>
        </w:rPr>
        <w:t>31.82</w:t>
      </w:r>
      <w:r>
        <w:rPr>
          <w:rFonts w:hint="eastAsia" w:ascii="仿宋_GB2312" w:eastAsia="仿宋_GB2312"/>
          <w:sz w:val="32"/>
          <w:szCs w:val="32"/>
        </w:rPr>
        <w:t>万元，本年财政拨款支出</w:t>
      </w:r>
      <w:r>
        <w:rPr>
          <w:rFonts w:hint="eastAsia" w:ascii="仿宋_GB2312" w:eastAsia="仿宋_GB2312"/>
          <w:sz w:val="32"/>
          <w:szCs w:val="32"/>
          <w:lang w:val="zh-CN"/>
        </w:rPr>
        <w:t>1,731.40</w:t>
      </w:r>
      <w:r>
        <w:rPr>
          <w:rFonts w:hint="eastAsia" w:ascii="仿宋_GB2312" w:eastAsia="仿宋_GB2312"/>
          <w:sz w:val="32"/>
          <w:szCs w:val="32"/>
        </w:rPr>
        <w:t>万元。</w:t>
      </w:r>
    </w:p>
    <w:p>
      <w:pPr>
        <w:ind w:firstLine="640" w:firstLineChars="200"/>
        <w:jc w:val="left"/>
        <w:rPr>
          <w:rFonts w:ascii="仿宋_GB2312" w:eastAsia="仿宋_GB2312"/>
          <w:sz w:val="32"/>
          <w:szCs w:val="32"/>
        </w:rPr>
      </w:pPr>
      <w:r>
        <w:rPr>
          <w:rFonts w:hint="eastAsia" w:ascii="仿宋_GB2312" w:eastAsia="仿宋_GB2312"/>
          <w:sz w:val="32"/>
          <w:szCs w:val="32"/>
        </w:rPr>
        <w:t>财政拨款收入支出总体与上年相比,</w:t>
      </w:r>
      <w:r>
        <w:rPr>
          <w:rFonts w:hint="eastAsia" w:ascii="仿宋_GB2312" w:eastAsia="仿宋_GB2312"/>
          <w:sz w:val="32"/>
          <w:szCs w:val="32"/>
          <w:lang w:val="zh-CN"/>
        </w:rPr>
        <w:t>增加68.82万元</w:t>
      </w:r>
      <w:r>
        <w:rPr>
          <w:rFonts w:hint="eastAsia" w:ascii="仿宋_GB2312" w:eastAsia="仿宋_GB2312"/>
          <w:sz w:val="32"/>
          <w:szCs w:val="32"/>
        </w:rPr>
        <w:t>，增长4.06%,主要原因是：单位本年教育系统取暖费增加。与年初预算相比，年初预算数</w:t>
      </w:r>
      <w:r>
        <w:rPr>
          <w:rFonts w:hint="eastAsia" w:ascii="仿宋_GB2312" w:eastAsia="仿宋_GB2312"/>
          <w:sz w:val="32"/>
          <w:szCs w:val="32"/>
          <w:lang w:val="zh-CN"/>
        </w:rPr>
        <w:t>1,657.92</w:t>
      </w:r>
      <w:r>
        <w:rPr>
          <w:rFonts w:hint="eastAsia" w:ascii="仿宋_GB2312" w:eastAsia="仿宋_GB2312"/>
          <w:sz w:val="32"/>
          <w:szCs w:val="32"/>
        </w:rPr>
        <w:t>万元，决算数</w:t>
      </w:r>
      <w:r>
        <w:rPr>
          <w:rFonts w:hint="eastAsia" w:ascii="仿宋_GB2312" w:eastAsia="仿宋_GB2312"/>
          <w:sz w:val="32"/>
          <w:szCs w:val="32"/>
          <w:lang w:val="zh-CN"/>
        </w:rPr>
        <w:t>1,763.22</w:t>
      </w:r>
      <w:r>
        <w:rPr>
          <w:rFonts w:hint="eastAsia" w:ascii="仿宋_GB2312" w:eastAsia="仿宋_GB2312"/>
          <w:sz w:val="32"/>
          <w:szCs w:val="32"/>
        </w:rPr>
        <w:t>万元，预决算差异率6.35%，主要原因是：在职人员岗位变动，工资、津贴补贴、绩效增加。</w:t>
      </w:r>
    </w:p>
    <w:p>
      <w:pPr>
        <w:ind w:firstLine="640" w:firstLineChars="200"/>
        <w:jc w:val="left"/>
        <w:outlineLvl w:val="1"/>
        <w:rPr>
          <w:rFonts w:hint="eastAsia" w:ascii="黑体" w:hAnsi="黑体" w:eastAsia="黑体" w:cs="宋体"/>
          <w:bCs/>
          <w:kern w:val="0"/>
          <w:sz w:val="32"/>
          <w:szCs w:val="32"/>
        </w:rPr>
      </w:pPr>
      <w:bookmarkStart w:id="16" w:name="_Toc20360"/>
      <w:bookmarkStart w:id="17" w:name="_Toc13833"/>
      <w:r>
        <w:rPr>
          <w:rFonts w:hint="eastAsia" w:ascii="黑体" w:hAnsi="黑体" w:eastAsia="黑体" w:cs="宋体"/>
          <w:bCs/>
          <w:kern w:val="0"/>
          <w:sz w:val="32"/>
          <w:szCs w:val="32"/>
        </w:rPr>
        <w:t>五、一般公共预算财政拨款支出决算情况说明</w:t>
      </w:r>
      <w:bookmarkEnd w:id="16"/>
      <w:bookmarkEnd w:id="17"/>
    </w:p>
    <w:p>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（一）一般公共预算财政拨款支出决算总体情况</w:t>
      </w:r>
    </w:p>
    <w:p>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2023年度一般公共预算财政拨款支出1,731.40万元，占本年支出合计的</w:t>
      </w:r>
      <w:r>
        <w:rPr>
          <w:rFonts w:hint="eastAsia" w:ascii="仿宋_GB2312" w:eastAsia="仿宋_GB2312"/>
          <w:sz w:val="32"/>
          <w:szCs w:val="32"/>
          <w:lang w:val="zh-CN"/>
        </w:rPr>
        <w:t>99.69%</w:t>
      </w:r>
      <w:r>
        <w:rPr>
          <w:rFonts w:hint="eastAsia" w:ascii="仿宋_GB2312" w:eastAsia="仿宋_GB2312"/>
          <w:sz w:val="32"/>
          <w:szCs w:val="32"/>
        </w:rPr>
        <w:t>。与上年相比，</w:t>
      </w:r>
      <w:r>
        <w:rPr>
          <w:rFonts w:hint="eastAsia" w:ascii="仿宋_GB2312" w:eastAsia="仿宋_GB2312"/>
          <w:sz w:val="32"/>
          <w:szCs w:val="32"/>
          <w:lang w:val="zh-CN"/>
        </w:rPr>
        <w:t>增加68.82万元</w:t>
      </w:r>
      <w:r>
        <w:rPr>
          <w:rFonts w:hint="eastAsia" w:ascii="仿宋_GB2312" w:eastAsia="仿宋_GB2312"/>
          <w:sz w:val="32"/>
          <w:szCs w:val="32"/>
        </w:rPr>
        <w:t>，增长4.14%,主要原因是：单位本年教育系统取暖费增加。与年初预算相比，年初预算数</w:t>
      </w:r>
      <w:r>
        <w:rPr>
          <w:rFonts w:hint="eastAsia" w:ascii="仿宋_GB2312" w:eastAsia="仿宋_GB2312"/>
          <w:sz w:val="32"/>
          <w:szCs w:val="32"/>
          <w:lang w:val="zh-CN"/>
        </w:rPr>
        <w:t>1,657.92</w:t>
      </w:r>
      <w:r>
        <w:rPr>
          <w:rFonts w:hint="eastAsia" w:ascii="仿宋_GB2312" w:eastAsia="仿宋_GB2312"/>
          <w:sz w:val="32"/>
          <w:szCs w:val="32"/>
        </w:rPr>
        <w:t>万元，决算数</w:t>
      </w:r>
      <w:r>
        <w:rPr>
          <w:rFonts w:hint="eastAsia" w:ascii="仿宋_GB2312" w:eastAsia="仿宋_GB2312"/>
          <w:sz w:val="32"/>
          <w:szCs w:val="32"/>
          <w:lang w:val="zh-CN"/>
        </w:rPr>
        <w:t>1,731.40</w:t>
      </w:r>
      <w:r>
        <w:rPr>
          <w:rFonts w:hint="eastAsia" w:ascii="仿宋_GB2312" w:eastAsia="仿宋_GB2312"/>
          <w:sz w:val="32"/>
          <w:szCs w:val="32"/>
        </w:rPr>
        <w:t>万元，预决算差异率</w:t>
      </w:r>
      <w:r>
        <w:rPr>
          <w:rFonts w:hint="eastAsia" w:ascii="仿宋_GB2312" w:eastAsia="仿宋_GB2312"/>
          <w:sz w:val="32"/>
          <w:szCs w:val="32"/>
          <w:lang w:val="zh-CN"/>
        </w:rPr>
        <w:t>4.43%</w:t>
      </w:r>
      <w:r>
        <w:rPr>
          <w:rFonts w:hint="eastAsia" w:ascii="仿宋_GB2312" w:eastAsia="仿宋_GB2312"/>
          <w:sz w:val="32"/>
          <w:szCs w:val="32"/>
        </w:rPr>
        <w:t>，主要原因是：在职人员岗位变动，工资、津贴补贴、绩效增加。</w:t>
      </w:r>
    </w:p>
    <w:p>
      <w:pPr>
        <w:numPr>
          <w:ilvl w:val="0"/>
          <w:numId w:val="1"/>
        </w:num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一般公共预算财政拨款支出决算结构情况</w:t>
      </w:r>
    </w:p>
    <w:p>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rPr>
        <w:t>1</w:t>
      </w:r>
      <w:r>
        <w:rPr>
          <w:rFonts w:ascii="仿宋_GB2312" w:eastAsia="仿宋_GB2312"/>
          <w:kern w:val="2"/>
          <w:sz w:val="32"/>
          <w:szCs w:val="32"/>
          <w:lang w:val="zh-CN"/>
        </w:rPr>
        <w:t>.教育支出（类）</w:t>
      </w:r>
      <w:r>
        <w:rPr>
          <w:rFonts w:hint="eastAsia" w:ascii="仿宋_GB2312" w:eastAsia="仿宋_GB2312"/>
          <w:kern w:val="2"/>
          <w:sz w:val="32"/>
          <w:szCs w:val="32"/>
          <w:lang w:val="zh-CN"/>
        </w:rPr>
        <w:t>1,632.00</w:t>
      </w:r>
      <w:r>
        <w:rPr>
          <w:rFonts w:ascii="仿宋_GB2312" w:eastAsia="仿宋_GB2312"/>
          <w:kern w:val="2"/>
          <w:sz w:val="32"/>
          <w:szCs w:val="32"/>
          <w:lang w:val="zh-CN"/>
        </w:rPr>
        <w:t>万元，占</w:t>
      </w:r>
      <w:r>
        <w:rPr>
          <w:rFonts w:hint="eastAsia" w:ascii="仿宋_GB2312" w:eastAsia="仿宋_GB2312"/>
          <w:kern w:val="2"/>
          <w:sz w:val="32"/>
          <w:szCs w:val="32"/>
          <w:lang w:val="zh-CN"/>
        </w:rPr>
        <w:t>94.26</w:t>
      </w:r>
      <w:r>
        <w:rPr>
          <w:rFonts w:ascii="仿宋_GB2312" w:eastAsia="仿宋_GB2312"/>
          <w:kern w:val="2"/>
          <w:sz w:val="32"/>
          <w:szCs w:val="32"/>
          <w:lang w:val="zh-CN"/>
        </w:rPr>
        <w:t>%；</w:t>
      </w:r>
    </w:p>
    <w:p>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rPr>
        <w:t>2</w:t>
      </w:r>
      <w:r>
        <w:rPr>
          <w:rFonts w:ascii="仿宋_GB2312" w:eastAsia="仿宋_GB2312"/>
          <w:kern w:val="2"/>
          <w:sz w:val="32"/>
          <w:szCs w:val="32"/>
          <w:lang w:val="zh-CN"/>
        </w:rPr>
        <w:t>.社会保障和就业支出（类）</w:t>
      </w:r>
      <w:r>
        <w:rPr>
          <w:rFonts w:hint="eastAsia" w:ascii="仿宋_GB2312" w:eastAsia="仿宋_GB2312"/>
          <w:kern w:val="2"/>
          <w:sz w:val="32"/>
          <w:szCs w:val="32"/>
          <w:lang w:val="zh-CN"/>
        </w:rPr>
        <w:t>99.41</w:t>
      </w:r>
      <w:r>
        <w:rPr>
          <w:rFonts w:ascii="仿宋_GB2312" w:eastAsia="仿宋_GB2312"/>
          <w:kern w:val="2"/>
          <w:sz w:val="32"/>
          <w:szCs w:val="32"/>
          <w:lang w:val="zh-CN"/>
        </w:rPr>
        <w:t>万元，占</w:t>
      </w:r>
      <w:r>
        <w:rPr>
          <w:rFonts w:hint="eastAsia" w:ascii="仿宋_GB2312" w:eastAsia="仿宋_GB2312"/>
          <w:kern w:val="2"/>
          <w:sz w:val="32"/>
          <w:szCs w:val="32"/>
          <w:lang w:val="zh-CN"/>
        </w:rPr>
        <w:t>5.74</w:t>
      </w:r>
      <w:r>
        <w:rPr>
          <w:rFonts w:ascii="仿宋_GB2312" w:eastAsia="仿宋_GB2312"/>
          <w:kern w:val="2"/>
          <w:sz w:val="32"/>
          <w:szCs w:val="32"/>
          <w:lang w:val="zh-CN"/>
        </w:rPr>
        <w:t>%</w:t>
      </w:r>
      <w:r>
        <w:rPr>
          <w:rFonts w:hint="eastAsia" w:ascii="仿宋_GB2312" w:eastAsia="仿宋_GB2312"/>
          <w:kern w:val="2"/>
          <w:sz w:val="32"/>
          <w:szCs w:val="32"/>
          <w:lang w:val="zh-CN"/>
        </w:rPr>
        <w:t>。</w:t>
      </w:r>
    </w:p>
    <w:p>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（三）一般公共预算财政拨款支出决算具体情况</w:t>
      </w:r>
    </w:p>
    <w:p>
      <w:pPr>
        <w:ind w:firstLine="640" w:firstLineChars="200"/>
        <w:rPr>
          <w:rFonts w:ascii="仿宋_GB2312" w:eastAsia="仿宋_GB2312"/>
          <w:sz w:val="32"/>
          <w:szCs w:val="32"/>
          <w:lang w:val="zh-CN"/>
        </w:rPr>
      </w:pPr>
      <w:r>
        <w:rPr>
          <w:rFonts w:hint="eastAsia" w:ascii="仿宋_GB2312" w:eastAsia="仿宋_GB2312"/>
          <w:sz w:val="32"/>
          <w:szCs w:val="32"/>
        </w:rPr>
        <w:t>1.教育支出（类）教育费附加安排的支出（款）其他教育费附加安排的支出（项）:支出决算数为3.36万元，比上年决算增加3.36万元，增长100%，主要原因是：本年新增</w:t>
      </w:r>
      <w:r>
        <w:rPr>
          <w:rFonts w:hint="eastAsia" w:ascii="仿宋_GB2312" w:eastAsia="仿宋_GB2312"/>
          <w:sz w:val="32"/>
          <w:szCs w:val="32"/>
          <w:lang w:val="zh-CN"/>
        </w:rPr>
        <w:t>课后服务经费。</w:t>
      </w:r>
    </w:p>
    <w:p>
      <w:pPr>
        <w:ind w:firstLine="640" w:firstLineChars="200"/>
        <w:rPr>
          <w:rFonts w:ascii="仿宋_GB2312" w:eastAsia="仿宋_GB2312"/>
          <w:sz w:val="32"/>
          <w:szCs w:val="32"/>
          <w:lang w:val="zh-CN"/>
        </w:rPr>
      </w:pPr>
      <w:r>
        <w:rPr>
          <w:rFonts w:hint="eastAsia" w:ascii="仿宋_GB2312" w:eastAsia="仿宋_GB2312"/>
          <w:sz w:val="32"/>
          <w:szCs w:val="32"/>
        </w:rPr>
        <w:t>2.社会保障和就业支出（类）抚恤（款）死亡抚恤（项）:支出决算数为32.66万元，比上年决算增加17.74万元，增长118.98%，主要原因是：单位</w:t>
      </w:r>
      <w:r>
        <w:rPr>
          <w:rFonts w:hint="eastAsia" w:ascii="仿宋_GB2312" w:eastAsia="仿宋_GB2312"/>
          <w:sz w:val="32"/>
          <w:szCs w:val="32"/>
          <w:lang w:val="zh-CN"/>
        </w:rPr>
        <w:t>本年退休人员死亡三人，</w:t>
      </w:r>
      <w:r>
        <w:rPr>
          <w:rFonts w:hint="eastAsia" w:ascii="仿宋_GB2312" w:eastAsia="仿宋_GB2312"/>
          <w:sz w:val="32"/>
          <w:szCs w:val="32"/>
        </w:rPr>
        <w:t>抚恤金增加</w:t>
      </w:r>
      <w:r>
        <w:rPr>
          <w:rFonts w:hint="eastAsia" w:ascii="仿宋_GB2312" w:eastAsia="仿宋_GB2312"/>
          <w:sz w:val="32"/>
          <w:szCs w:val="32"/>
          <w:lang w:val="zh-CN"/>
        </w:rPr>
        <w:t>。</w:t>
      </w:r>
    </w:p>
    <w:p>
      <w:pPr>
        <w:ind w:firstLine="640" w:firstLineChars="200"/>
        <w:rPr>
          <w:rFonts w:ascii="仿宋_GB2312" w:eastAsia="仿宋_GB2312"/>
          <w:sz w:val="32"/>
          <w:szCs w:val="32"/>
          <w:lang w:val="zh-CN"/>
        </w:rPr>
      </w:pPr>
      <w:r>
        <w:rPr>
          <w:rFonts w:hint="eastAsia" w:ascii="仿宋_GB2312" w:eastAsia="仿宋_GB2312"/>
          <w:sz w:val="32"/>
          <w:szCs w:val="32"/>
        </w:rPr>
        <w:t>3.教育支出（类）普通教育（款）小学教育（项）:支出决算数为1,292.14万元，比上年决算减少56.02万元，下降4.15%，主要原因是：单位本年</w:t>
      </w:r>
      <w:r>
        <w:rPr>
          <w:rFonts w:hint="eastAsia" w:ascii="仿宋_GB2312" w:eastAsia="仿宋_GB2312"/>
          <w:sz w:val="32"/>
          <w:szCs w:val="32"/>
          <w:lang w:val="zh-CN"/>
        </w:rPr>
        <w:t>城乡义务教育补助经费</w:t>
      </w:r>
      <w:r>
        <w:rPr>
          <w:rFonts w:hint="eastAsia" w:ascii="仿宋_GB2312" w:eastAsia="仿宋_GB2312"/>
          <w:sz w:val="32"/>
          <w:szCs w:val="32"/>
        </w:rPr>
        <w:t>减少</w:t>
      </w:r>
      <w:r>
        <w:rPr>
          <w:rFonts w:hint="eastAsia" w:ascii="仿宋_GB2312" w:eastAsia="仿宋_GB2312"/>
          <w:sz w:val="32"/>
          <w:szCs w:val="32"/>
          <w:lang w:val="zh-CN"/>
        </w:rPr>
        <w:t>。</w:t>
      </w:r>
    </w:p>
    <w:p>
      <w:pPr>
        <w:ind w:firstLine="640" w:firstLineChars="200"/>
        <w:rPr>
          <w:rFonts w:ascii="仿宋_GB2312" w:eastAsia="仿宋_GB2312"/>
          <w:sz w:val="32"/>
          <w:szCs w:val="32"/>
          <w:lang w:val="zh-CN"/>
        </w:rPr>
      </w:pPr>
      <w:r>
        <w:rPr>
          <w:rFonts w:hint="eastAsia" w:ascii="仿宋_GB2312" w:eastAsia="仿宋_GB2312"/>
          <w:sz w:val="32"/>
          <w:szCs w:val="32"/>
        </w:rPr>
        <w:t>4.社会保障和就业支出（类）行政事业单位养老支出（款）事业单位离退休（项）:支出决算数为33.04万元，比上年决算增加20.33万元，增长160.06%，主要原因是：单位</w:t>
      </w:r>
      <w:r>
        <w:rPr>
          <w:rFonts w:hint="eastAsia" w:ascii="仿宋_GB2312" w:eastAsia="仿宋_GB2312"/>
          <w:sz w:val="32"/>
          <w:szCs w:val="32"/>
          <w:lang w:val="zh-CN"/>
        </w:rPr>
        <w:t>本年退休人员绩效奖</w:t>
      </w:r>
      <w:r>
        <w:rPr>
          <w:rFonts w:hint="eastAsia" w:ascii="仿宋_GB2312" w:eastAsia="仿宋_GB2312"/>
          <w:sz w:val="32"/>
          <w:szCs w:val="32"/>
        </w:rPr>
        <w:t>增加</w:t>
      </w:r>
      <w:r>
        <w:rPr>
          <w:rFonts w:hint="eastAsia" w:ascii="仿宋_GB2312" w:eastAsia="仿宋_GB2312"/>
          <w:sz w:val="32"/>
          <w:szCs w:val="32"/>
          <w:lang w:val="zh-CN"/>
        </w:rPr>
        <w:t>。</w:t>
      </w:r>
    </w:p>
    <w:p>
      <w:pPr>
        <w:ind w:firstLine="640" w:firstLineChars="200"/>
        <w:rPr>
          <w:rFonts w:ascii="仿宋_GB2312" w:eastAsia="仿宋_GB2312"/>
          <w:sz w:val="32"/>
          <w:szCs w:val="32"/>
          <w:lang w:val="zh-CN"/>
        </w:rPr>
      </w:pPr>
      <w:r>
        <w:rPr>
          <w:rFonts w:hint="eastAsia" w:ascii="仿宋_GB2312" w:eastAsia="仿宋_GB2312"/>
          <w:sz w:val="32"/>
          <w:szCs w:val="32"/>
        </w:rPr>
        <w:t>5.教育支出（类）普通教育（款）学前教育（项）:支出决算数为336.50万元，比上年决算增加79.62万元，增长31.00%，主要原因是：单位本年</w:t>
      </w:r>
      <w:r>
        <w:rPr>
          <w:rFonts w:hint="eastAsia" w:ascii="仿宋_GB2312" w:eastAsia="仿宋_GB2312"/>
          <w:sz w:val="32"/>
          <w:szCs w:val="32"/>
          <w:lang w:val="zh-CN"/>
        </w:rPr>
        <w:t>农村学前三年免费教育保障机制经费</w:t>
      </w:r>
      <w:r>
        <w:rPr>
          <w:rFonts w:hint="eastAsia" w:ascii="仿宋_GB2312" w:eastAsia="仿宋_GB2312"/>
          <w:sz w:val="32"/>
          <w:szCs w:val="32"/>
        </w:rPr>
        <w:t>增加</w:t>
      </w:r>
      <w:r>
        <w:rPr>
          <w:rFonts w:hint="eastAsia" w:ascii="仿宋_GB2312" w:eastAsia="仿宋_GB2312"/>
          <w:sz w:val="32"/>
          <w:szCs w:val="32"/>
          <w:lang w:val="zh-CN"/>
        </w:rPr>
        <w:t>。</w:t>
      </w:r>
    </w:p>
    <w:p>
      <w:pPr>
        <w:ind w:firstLine="640" w:firstLineChars="200"/>
        <w:rPr>
          <w:rFonts w:ascii="仿宋_GB2312" w:eastAsia="仿宋_GB2312"/>
          <w:sz w:val="32"/>
          <w:szCs w:val="32"/>
          <w:lang w:val="zh-CN"/>
        </w:rPr>
      </w:pPr>
      <w:r>
        <w:rPr>
          <w:rFonts w:hint="eastAsia" w:ascii="仿宋_GB2312" w:eastAsia="仿宋_GB2312"/>
          <w:sz w:val="32"/>
          <w:szCs w:val="32"/>
        </w:rPr>
        <w:t>6.社会保障和就业支出（类）行政事业单位养老支出（款）机关事业单位职业年金缴费支出（项）:支出决算数为33.71万元，比上年决算增加19.69万元，增长140.40%，主要原因是：单位</w:t>
      </w:r>
      <w:r>
        <w:rPr>
          <w:rFonts w:hint="eastAsia" w:ascii="仿宋_GB2312" w:eastAsia="仿宋_GB2312"/>
          <w:sz w:val="32"/>
          <w:szCs w:val="32"/>
          <w:lang w:val="zh-CN"/>
        </w:rPr>
        <w:t>本年退休人员，职业年金缴费增加。</w:t>
      </w:r>
    </w:p>
    <w:p>
      <w:pPr>
        <w:ind w:firstLine="640" w:firstLineChars="200"/>
        <w:rPr>
          <w:rFonts w:ascii="仿宋_GB2312" w:eastAsia="仿宋_GB2312"/>
          <w:sz w:val="32"/>
          <w:szCs w:val="32"/>
          <w:lang w:val="zh-CN"/>
        </w:rPr>
      </w:pPr>
      <w:r>
        <w:rPr>
          <w:rFonts w:hint="eastAsia" w:ascii="仿宋_GB2312" w:eastAsia="仿宋_GB2312"/>
          <w:sz w:val="32"/>
          <w:szCs w:val="32"/>
        </w:rPr>
        <w:t>7.教育支出（类）教育费附加安排的支出（款）农村中小学校舍建设（项）:支出决算数为0.00万元，比上年决算减少12.00万元，下降100%，主要原因是：</w:t>
      </w:r>
      <w:r>
        <w:rPr>
          <w:rFonts w:hint="eastAsia" w:ascii="仿宋_GB2312" w:eastAsia="仿宋_GB2312"/>
          <w:sz w:val="32"/>
          <w:szCs w:val="32"/>
          <w:lang w:val="zh-CN"/>
        </w:rPr>
        <w:t>单位本年无此项经费。</w:t>
      </w:r>
    </w:p>
    <w:p>
      <w:pPr>
        <w:ind w:firstLine="640" w:firstLineChars="200"/>
        <w:rPr>
          <w:rFonts w:ascii="仿宋_GB2312" w:eastAsia="仿宋_GB2312"/>
          <w:sz w:val="32"/>
          <w:szCs w:val="32"/>
          <w:lang w:val="zh-CN"/>
        </w:rPr>
      </w:pPr>
      <w:r>
        <w:rPr>
          <w:rFonts w:hint="eastAsia" w:ascii="仿宋_GB2312" w:eastAsia="仿宋_GB2312"/>
          <w:sz w:val="32"/>
          <w:szCs w:val="32"/>
        </w:rPr>
        <w:t>8.教育支出（类）教育费附加安排的支出（款）农村中小学教学设施（项）:支出决算数为0.00万元，比上年决算减少3.91万元，下降100%，主要原因是：</w:t>
      </w:r>
      <w:r>
        <w:rPr>
          <w:rFonts w:hint="eastAsia" w:ascii="仿宋_GB2312" w:eastAsia="仿宋_GB2312"/>
          <w:sz w:val="32"/>
          <w:szCs w:val="32"/>
          <w:lang w:val="zh-CN"/>
        </w:rPr>
        <w:t>单位本年无此项经费。</w:t>
      </w:r>
    </w:p>
    <w:p>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pPr>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基本支出1,633.31万元，其中：人员经费1,615.55万元，包括：基本工资、津贴补贴、奖金、机关事业单位基本养老保险缴费、职业年金缴费、职工基本医疗保险缴费、其他社会保障缴费、住房公积金、退休费、抚恤金、生活补助、奖励金、其他对个人和家庭的补助。</w:t>
      </w:r>
    </w:p>
    <w:p>
      <w:pPr>
        <w:ind w:firstLine="640" w:firstLineChars="200"/>
        <w:jc w:val="left"/>
        <w:rPr>
          <w:rFonts w:ascii="仿宋_GB2312" w:eastAsia="仿宋_GB2312"/>
          <w:sz w:val="32"/>
          <w:szCs w:val="32"/>
          <w:highlight w:val="red"/>
        </w:rPr>
      </w:pPr>
      <w:r>
        <w:rPr>
          <w:rFonts w:hint="eastAsia" w:ascii="仿宋_GB2312" w:eastAsia="仿宋_GB2312"/>
          <w:sz w:val="32"/>
          <w:szCs w:val="32"/>
        </w:rPr>
        <w:t>公用经费17.75万元，包括：水费、电费、邮电费、取暖费。</w:t>
      </w:r>
    </w:p>
    <w:p>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七、财政拨款“三公”经费支出决算情况说明</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2023年度</w:t>
      </w:r>
      <w:r>
        <w:rPr>
          <w:rFonts w:hint="eastAsia" w:ascii="仿宋_GB2312" w:eastAsia="仿宋_GB2312"/>
          <w:sz w:val="32"/>
          <w:szCs w:val="32"/>
        </w:rPr>
        <w:t>财政拨款</w:t>
      </w:r>
      <w:r>
        <w:rPr>
          <w:rFonts w:hint="eastAsia" w:ascii="仿宋_GB2312" w:eastAsia="仿宋_GB2312"/>
          <w:sz w:val="32"/>
          <w:szCs w:val="32"/>
          <w:lang w:val="zh-CN"/>
        </w:rPr>
        <w:t>“三公”经费支出0.00万元，</w:t>
      </w:r>
      <w:r>
        <w:rPr>
          <w:rFonts w:hint="eastAsia" w:ascii="仿宋_GB2312" w:eastAsia="仿宋_GB2312"/>
          <w:sz w:val="32"/>
          <w:szCs w:val="32"/>
        </w:rPr>
        <w:t>比上年</w:t>
      </w:r>
      <w:r>
        <w:rPr>
          <w:rFonts w:hint="eastAsia" w:ascii="仿宋_GB2312" w:eastAsia="仿宋_GB2312"/>
          <w:sz w:val="32"/>
          <w:szCs w:val="32"/>
          <w:lang w:val="zh-CN"/>
        </w:rPr>
        <w:t>增加0.00万元，</w:t>
      </w:r>
      <w:r>
        <w:rPr>
          <w:rFonts w:hint="eastAsia" w:ascii="仿宋_GB2312" w:eastAsia="仿宋_GB2312"/>
          <w:sz w:val="32"/>
          <w:szCs w:val="32"/>
        </w:rPr>
        <w:t>增长0.00%,</w:t>
      </w:r>
      <w:r>
        <w:rPr>
          <w:rFonts w:hint="eastAsia" w:ascii="仿宋_GB2312" w:eastAsia="仿宋_GB2312"/>
          <w:sz w:val="32"/>
          <w:szCs w:val="32"/>
          <w:lang w:val="zh-CN"/>
        </w:rPr>
        <w:t>主要原因是：单位本年无此项经费。其中：因公出国（境）费支出0.00万元，占0.00%，比上年增加0.00万元，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主要原因是：单位本年无此项经费；公务用车购置及运行维护费支出0.00万元，占0.00%，比上年增加0.00万元，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主要原因是：单位本年无此项经费；公务接待费支出0.00万元，占0.00%，比上年增加0.00万元，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主要原因是：单位本年无此项经费。</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具体情况如下：</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因公出国（境）费支出0.00万元，开支内容包括单位本年无此项经费。单位全年安排的因公出国（境）团组0个，因公出国（境）0人次。</w:t>
      </w:r>
    </w:p>
    <w:p>
      <w:pPr>
        <w:ind w:firstLine="640" w:firstLineChars="200"/>
        <w:jc w:val="left"/>
        <w:rPr>
          <w:rFonts w:ascii="仿宋_GB2312" w:eastAsia="仿宋_GB2312"/>
          <w:sz w:val="32"/>
          <w:szCs w:val="32"/>
        </w:rPr>
      </w:pPr>
      <w:r>
        <w:rPr>
          <w:rFonts w:hint="eastAsia" w:ascii="仿宋_GB2312" w:eastAsia="仿宋_GB2312"/>
          <w:sz w:val="32"/>
          <w:szCs w:val="32"/>
          <w:lang w:val="zh-CN"/>
        </w:rPr>
        <w:t>公务用车购置及运行维护费0.00万元，其中：公务用车购置费0.00万元，公务用车运行维护费0.00万元。公务用车运行维护费开支内容包括单位本年无此项经费。公务用车购置数0辆，公务用车保有量0辆。国有资产占用情况</w:t>
      </w:r>
      <w:r>
        <w:rPr>
          <w:rFonts w:hint="eastAsia" w:ascii="仿宋_GB2312" w:eastAsia="仿宋_GB2312"/>
          <w:sz w:val="32"/>
          <w:szCs w:val="32"/>
        </w:rPr>
        <w:t>中固定资产车辆</w:t>
      </w:r>
      <w:r>
        <w:rPr>
          <w:rFonts w:hint="eastAsia" w:ascii="仿宋_GB2312" w:eastAsia="仿宋_GB2312"/>
          <w:sz w:val="32"/>
          <w:szCs w:val="32"/>
          <w:lang w:val="zh-CN"/>
        </w:rPr>
        <w:t>0辆，</w:t>
      </w:r>
      <w:r>
        <w:rPr>
          <w:rFonts w:hint="eastAsia" w:ascii="仿宋_GB2312" w:eastAsia="仿宋_GB2312"/>
          <w:sz w:val="32"/>
          <w:szCs w:val="32"/>
        </w:rPr>
        <w:t>与</w:t>
      </w:r>
      <w:r>
        <w:rPr>
          <w:rFonts w:hint="eastAsia" w:ascii="仿宋_GB2312" w:eastAsia="仿宋_GB2312"/>
          <w:sz w:val="32"/>
          <w:szCs w:val="32"/>
          <w:lang w:val="zh-CN"/>
        </w:rPr>
        <w:t>公务用车</w:t>
      </w:r>
      <w:r>
        <w:rPr>
          <w:rFonts w:hint="eastAsia" w:ascii="仿宋_GB2312" w:eastAsia="仿宋_GB2312"/>
          <w:sz w:val="32"/>
          <w:szCs w:val="32"/>
        </w:rPr>
        <w:t>保有量差异</w:t>
      </w:r>
      <w:r>
        <w:rPr>
          <w:rFonts w:hint="eastAsia" w:ascii="仿宋_GB2312" w:eastAsia="仿宋_GB2312"/>
          <w:sz w:val="32"/>
          <w:szCs w:val="32"/>
          <w:lang w:val="zh-CN"/>
        </w:rPr>
        <w:t>原因是：</w:t>
      </w:r>
      <w:r>
        <w:rPr>
          <w:rFonts w:hint="eastAsia" w:ascii="仿宋_GB2312" w:eastAsia="仿宋_GB2312"/>
          <w:sz w:val="32"/>
          <w:szCs w:val="32"/>
        </w:rPr>
        <w:t>车辆对比无差异</w:t>
      </w:r>
      <w:r>
        <w:rPr>
          <w:rFonts w:hint="eastAsia" w:ascii="仿宋_GB2312" w:eastAsia="仿宋_GB2312"/>
          <w:sz w:val="32"/>
          <w:szCs w:val="32"/>
          <w:lang w:val="zh-CN"/>
        </w:rPr>
        <w:t>。</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公务接待费0.00万元，开支内容包括单位本年无此项经费。单位全年安排的国内公务接待0批次，0人次。</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与</w:t>
      </w:r>
      <w:r>
        <w:rPr>
          <w:rFonts w:hint="eastAsia" w:ascii="仿宋_GB2312" w:eastAsia="仿宋_GB2312"/>
          <w:sz w:val="32"/>
          <w:szCs w:val="32"/>
        </w:rPr>
        <w:t>全年</w:t>
      </w:r>
      <w:r>
        <w:rPr>
          <w:rFonts w:hint="eastAsia" w:ascii="仿宋_GB2312" w:eastAsia="仿宋_GB2312"/>
          <w:sz w:val="32"/>
          <w:szCs w:val="32"/>
          <w:lang w:val="zh-CN"/>
        </w:rPr>
        <w:t>预算相比</w:t>
      </w:r>
      <w:r>
        <w:rPr>
          <w:rFonts w:hint="eastAsia" w:ascii="仿宋_GB2312" w:eastAsia="仿宋_GB2312"/>
          <w:sz w:val="32"/>
          <w:szCs w:val="32"/>
        </w:rPr>
        <w:t>,</w:t>
      </w:r>
      <w:r>
        <w:rPr>
          <w:rFonts w:hint="eastAsia" w:ascii="仿宋_GB2312" w:eastAsia="仿宋_GB2312"/>
          <w:sz w:val="32"/>
          <w:szCs w:val="32"/>
          <w:lang w:val="zh-CN"/>
        </w:rPr>
        <w:t>财政拨款“三公”经费支出</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预算数0.00万元，决算数0.00万元，预决算差异率0.00%，主要原因是：单位本年无此项经费。其中：因公出国（境）费</w:t>
      </w:r>
      <w:r>
        <w:rPr>
          <w:rFonts w:hint="eastAsia" w:ascii="仿宋_GB2312" w:eastAsia="仿宋_GB2312"/>
          <w:sz w:val="32"/>
          <w:szCs w:val="32"/>
        </w:rPr>
        <w:t>全年预算数</w:t>
      </w:r>
      <w:r>
        <w:rPr>
          <w:rFonts w:hint="eastAsia" w:ascii="仿宋_GB2312" w:eastAsia="仿宋_GB2312"/>
          <w:sz w:val="32"/>
          <w:szCs w:val="32"/>
          <w:lang w:val="zh-CN"/>
        </w:rPr>
        <w:t>0.00万元，决算数0.00万元，预决算差异率0.00%，主要原因是：单位本年无此项经费；公务用车购置费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预算数0.00万元，决算数0.00万元，预决算差异率0.00%，主要原因是：单位本年无此项经费；公务用车运行费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预算数0.00万元，决算数0.00万元，预决算差异率0.00%，主要原因是：单位本年无此项经费；公务接待费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w:t>
      </w:r>
      <w:r>
        <w:rPr>
          <w:rFonts w:hint="eastAsia" w:ascii="仿宋_GB2312" w:eastAsia="仿宋_GB2312"/>
          <w:sz w:val="32"/>
          <w:szCs w:val="32"/>
        </w:rPr>
        <w:t>单位本年无此项经费</w:t>
      </w:r>
      <w:r>
        <w:rPr>
          <w:rFonts w:hint="eastAsia" w:ascii="仿宋_GB2312" w:eastAsia="仿宋_GB2312"/>
          <w:sz w:val="32"/>
          <w:szCs w:val="32"/>
          <w:lang w:val="zh-CN"/>
        </w:rPr>
        <w:t>。</w:t>
      </w:r>
    </w:p>
    <w:p>
      <w:pPr>
        <w:ind w:firstLine="640" w:firstLineChars="200"/>
        <w:jc w:val="left"/>
        <w:outlineLvl w:val="1"/>
        <w:rPr>
          <w:rFonts w:hint="eastAsia" w:ascii="黑体" w:hAnsi="黑体" w:eastAsia="黑体" w:cs="宋体"/>
          <w:bCs/>
          <w:kern w:val="0"/>
          <w:sz w:val="32"/>
          <w:szCs w:val="32"/>
        </w:rPr>
      </w:pPr>
      <w:bookmarkStart w:id="18" w:name="_Toc5810"/>
      <w:bookmarkStart w:id="19" w:name="_Toc7927"/>
      <w:r>
        <w:rPr>
          <w:rFonts w:hint="eastAsia" w:ascii="黑体" w:hAnsi="黑体" w:eastAsia="黑体" w:cs="宋体"/>
          <w:bCs/>
          <w:kern w:val="0"/>
          <w:sz w:val="32"/>
          <w:szCs w:val="32"/>
        </w:rPr>
        <w:t>八、政府性基金预算财政拨款收入支出决算情况说明</w:t>
      </w:r>
      <w:bookmarkEnd w:id="18"/>
      <w:bookmarkEnd w:id="19"/>
    </w:p>
    <w:p>
      <w:pPr>
        <w:ind w:firstLine="640" w:firstLineChars="200"/>
        <w:jc w:val="left"/>
        <w:rPr>
          <w:rFonts w:ascii="仿宋_GB2312" w:eastAsia="仿宋_GB2312"/>
          <w:sz w:val="32"/>
          <w:szCs w:val="32"/>
        </w:rPr>
      </w:pPr>
      <w:r>
        <w:rPr>
          <w:rFonts w:hint="eastAsia" w:ascii="仿宋_GB2312" w:eastAsia="仿宋_GB2312"/>
          <w:sz w:val="32"/>
          <w:szCs w:val="32"/>
        </w:rPr>
        <w:t>我单位本年度无政府性基金预算财政拨款收入、支出及结转和结余，政府性基金预算财政拨款收入支出决算表为空表。</w:t>
      </w:r>
    </w:p>
    <w:p>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九、国有资本经营预算财政拨款收入支出决算情况说明</w:t>
      </w:r>
    </w:p>
    <w:p>
      <w:pPr>
        <w:ind w:firstLine="640" w:firstLineChars="200"/>
        <w:jc w:val="left"/>
        <w:rPr>
          <w:rFonts w:ascii="仿宋_GB2312" w:eastAsia="仿宋_GB2312"/>
          <w:sz w:val="32"/>
          <w:szCs w:val="32"/>
        </w:rPr>
      </w:pPr>
      <w:r>
        <w:rPr>
          <w:rFonts w:hint="eastAsia" w:ascii="仿宋_GB2312" w:eastAsia="仿宋_GB2312"/>
          <w:sz w:val="32"/>
          <w:szCs w:val="32"/>
        </w:rPr>
        <w:t>我单位本年度无国有资本经营预算财政拨款收入、支出及结转和结余，国有资本经营预算财政拨款收入支出决算表为空表。</w:t>
      </w:r>
    </w:p>
    <w:p>
      <w:pPr>
        <w:ind w:firstLine="640" w:firstLineChars="200"/>
        <w:jc w:val="left"/>
        <w:outlineLvl w:val="1"/>
        <w:rPr>
          <w:rFonts w:hint="eastAsia" w:ascii="黑体" w:hAnsi="黑体" w:eastAsia="黑体" w:cs="宋体"/>
          <w:bCs/>
          <w:kern w:val="0"/>
          <w:sz w:val="32"/>
          <w:szCs w:val="32"/>
        </w:rPr>
      </w:pPr>
      <w:bookmarkStart w:id="20" w:name="_Toc1235"/>
      <w:bookmarkStart w:id="21" w:name="_Toc7314"/>
      <w:r>
        <w:rPr>
          <w:rFonts w:hint="eastAsia" w:ascii="黑体" w:hAnsi="黑体" w:eastAsia="黑体" w:cs="宋体"/>
          <w:bCs/>
          <w:kern w:val="0"/>
          <w:sz w:val="32"/>
          <w:szCs w:val="32"/>
        </w:rPr>
        <w:t>十、其他重要事项的情况说明</w:t>
      </w:r>
      <w:bookmarkEnd w:id="20"/>
      <w:bookmarkEnd w:id="21"/>
    </w:p>
    <w:p>
      <w:pPr>
        <w:ind w:firstLine="640" w:firstLineChars="200"/>
        <w:jc w:val="left"/>
        <w:outlineLvl w:val="2"/>
        <w:rPr>
          <w:rFonts w:hint="eastAsia" w:ascii="黑体" w:hAnsi="黑体" w:eastAsia="黑体"/>
          <w:sz w:val="32"/>
          <w:szCs w:val="32"/>
        </w:rPr>
      </w:pPr>
      <w:bookmarkStart w:id="22" w:name="_Toc13105"/>
      <w:bookmarkStart w:id="23" w:name="_Toc14519"/>
      <w:r>
        <w:rPr>
          <w:rFonts w:hint="eastAsia" w:ascii="黑体" w:hAnsi="黑体" w:eastAsia="黑体"/>
          <w:sz w:val="32"/>
          <w:szCs w:val="32"/>
        </w:rPr>
        <w:t>（一）机关运行经费支出情况</w:t>
      </w:r>
      <w:bookmarkEnd w:id="22"/>
      <w:bookmarkEnd w:id="23"/>
    </w:p>
    <w:p>
      <w:pPr>
        <w:ind w:firstLine="640" w:firstLineChars="200"/>
        <w:jc w:val="left"/>
        <w:rPr>
          <w:rFonts w:ascii="仿宋_GB2312" w:eastAsia="仿宋_GB2312"/>
          <w:sz w:val="32"/>
          <w:szCs w:val="32"/>
        </w:rPr>
      </w:pPr>
      <w:bookmarkStart w:id="24" w:name="_Toc26704"/>
      <w:bookmarkStart w:id="25" w:name="_Toc227"/>
      <w:r>
        <w:rPr>
          <w:rFonts w:hint="eastAsia" w:ascii="仿宋_GB2312" w:eastAsia="仿宋_GB2312"/>
          <w:sz w:val="32"/>
          <w:szCs w:val="32"/>
          <w:lang w:val="zh-CN"/>
        </w:rPr>
        <w:t>2023年度</w:t>
      </w:r>
      <w:r>
        <w:rPr>
          <w:rFonts w:hint="eastAsia" w:ascii="仿宋_GB2312" w:eastAsia="仿宋_GB2312"/>
          <w:sz w:val="32"/>
          <w:szCs w:val="32"/>
        </w:rPr>
        <w:t>木垒哈萨克自治县东城镇中心学校（事业单位）公用经费支出17.75万元，</w:t>
      </w:r>
      <w:r>
        <w:rPr>
          <w:rFonts w:hint="eastAsia" w:ascii="仿宋_GB2312" w:eastAsia="仿宋_GB2312"/>
          <w:sz w:val="32"/>
          <w:szCs w:val="32"/>
          <w:lang w:val="zh-CN"/>
        </w:rPr>
        <w:t>比上年增加9.00万元，增长102.86%，主要原因是：</w:t>
      </w:r>
      <w:r>
        <w:rPr>
          <w:rFonts w:hint="eastAsia" w:ascii="仿宋_GB2312" w:eastAsia="仿宋_GB2312"/>
          <w:sz w:val="32"/>
          <w:szCs w:val="32"/>
        </w:rPr>
        <w:t>单位本年水费、电费、</w:t>
      </w:r>
      <w:r>
        <w:rPr>
          <w:rFonts w:hint="eastAsia" w:ascii="仿宋_GB2312" w:eastAsia="仿宋_GB2312"/>
          <w:sz w:val="32"/>
          <w:szCs w:val="32"/>
          <w:lang w:val="zh-CN"/>
        </w:rPr>
        <w:t>取暖费</w:t>
      </w:r>
      <w:r>
        <w:rPr>
          <w:rFonts w:hint="eastAsia" w:ascii="仿宋_GB2312" w:eastAsia="仿宋_GB2312"/>
          <w:sz w:val="32"/>
          <w:szCs w:val="32"/>
        </w:rPr>
        <w:t>较上年增加</w:t>
      </w:r>
      <w:r>
        <w:rPr>
          <w:rFonts w:hint="eastAsia" w:ascii="仿宋_GB2312" w:eastAsia="仿宋_GB2312"/>
          <w:sz w:val="32"/>
          <w:szCs w:val="32"/>
          <w:lang w:val="zh-CN"/>
        </w:rPr>
        <w:t>。</w:t>
      </w:r>
    </w:p>
    <w:p>
      <w:pPr>
        <w:ind w:firstLine="640" w:firstLineChars="200"/>
        <w:jc w:val="left"/>
        <w:rPr>
          <w:rFonts w:eastAsia="黑体"/>
          <w:sz w:val="32"/>
          <w:szCs w:val="30"/>
          <w:lang w:val="zh-CN"/>
        </w:rPr>
      </w:pPr>
      <w:r>
        <w:rPr>
          <w:rFonts w:hint="eastAsia" w:eastAsia="黑体"/>
          <w:sz w:val="32"/>
          <w:szCs w:val="30"/>
          <w:lang w:val="zh-CN"/>
        </w:rPr>
        <w:t>（二）政府采购情况</w:t>
      </w:r>
      <w:bookmarkEnd w:id="24"/>
      <w:bookmarkEnd w:id="25"/>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2023年度政府采购支出总额0.00万元，其中：政府采购货物支出0.00万元、政府采购工程支出0.00万元、政府采购服务支出0.00万元。</w:t>
      </w:r>
    </w:p>
    <w:p>
      <w:pPr>
        <w:ind w:firstLine="640" w:firstLineChars="200"/>
        <w:jc w:val="left"/>
        <w:rPr>
          <w:rFonts w:ascii="仿宋_GB2312" w:eastAsia="仿宋_GB2312"/>
          <w:sz w:val="32"/>
          <w:szCs w:val="32"/>
        </w:rPr>
      </w:pPr>
      <w:r>
        <w:rPr>
          <w:rFonts w:hint="eastAsia" w:ascii="仿宋_GB2312" w:eastAsia="仿宋_GB2312"/>
          <w:sz w:val="32"/>
          <w:szCs w:val="32"/>
          <w:lang w:val="zh-CN"/>
        </w:rPr>
        <w:t>授予中小企业合同金额0.00万元，占政府采购支出总额的0.00</w:t>
      </w:r>
      <w:r>
        <w:rPr>
          <w:rFonts w:ascii="仿宋_GB2312" w:eastAsia="仿宋_GB2312"/>
          <w:sz w:val="32"/>
          <w:szCs w:val="32"/>
          <w:lang w:val="zh-CN"/>
        </w:rPr>
        <w:t>%</w:t>
      </w:r>
      <w:r>
        <w:rPr>
          <w:rFonts w:hint="eastAsia" w:ascii="仿宋_GB2312" w:eastAsia="仿宋_GB2312"/>
          <w:sz w:val="32"/>
          <w:szCs w:val="32"/>
          <w:lang w:val="zh-CN"/>
        </w:rPr>
        <w:t>，其中：授予小微企业合同金额0.00万元，占政府采购支出总额的0.00</w:t>
      </w:r>
      <w:r>
        <w:rPr>
          <w:rFonts w:ascii="仿宋_GB2312" w:eastAsia="仿宋_GB2312"/>
          <w:sz w:val="32"/>
          <w:szCs w:val="32"/>
          <w:lang w:val="zh-CN"/>
        </w:rPr>
        <w:t>%</w:t>
      </w:r>
      <w:r>
        <w:rPr>
          <w:rFonts w:hint="eastAsia" w:ascii="仿宋_GB2312" w:eastAsia="仿宋_GB2312"/>
          <w:sz w:val="32"/>
          <w:szCs w:val="32"/>
        </w:rPr>
        <w:t>。</w:t>
      </w:r>
    </w:p>
    <w:p>
      <w:pPr>
        <w:ind w:firstLine="640" w:firstLineChars="200"/>
        <w:jc w:val="left"/>
        <w:rPr>
          <w:rFonts w:eastAsia="黑体"/>
          <w:sz w:val="32"/>
          <w:szCs w:val="30"/>
          <w:lang w:val="zh-CN"/>
        </w:rPr>
      </w:pPr>
      <w:bookmarkStart w:id="26" w:name="_Toc8391"/>
      <w:bookmarkStart w:id="27" w:name="_Toc4591"/>
      <w:r>
        <w:rPr>
          <w:rFonts w:hint="eastAsia" w:eastAsia="黑体"/>
          <w:sz w:val="32"/>
          <w:szCs w:val="30"/>
          <w:lang w:val="zh-CN"/>
        </w:rPr>
        <w:t>（三）国有资产占用情况说明</w:t>
      </w:r>
      <w:bookmarkEnd w:id="26"/>
      <w:bookmarkEnd w:id="27"/>
    </w:p>
    <w:p>
      <w:pPr>
        <w:ind w:firstLine="640" w:firstLineChars="200"/>
        <w:jc w:val="left"/>
        <w:rPr>
          <w:rFonts w:ascii="仿宋_GB2312" w:eastAsia="仿宋_GB2312"/>
          <w:sz w:val="32"/>
          <w:szCs w:val="32"/>
          <w:lang w:val="zh-CN"/>
        </w:rPr>
      </w:pPr>
      <w:r>
        <w:rPr>
          <w:rFonts w:hint="eastAsia" w:ascii="仿宋_GB2312" w:eastAsia="仿宋_GB2312"/>
          <w:sz w:val="32"/>
          <w:szCs w:val="32"/>
        </w:rPr>
        <w:t>截至2023</w:t>
      </w:r>
      <w:r>
        <w:rPr>
          <w:rFonts w:hint="eastAsia" w:ascii="仿宋_GB2312" w:eastAsia="仿宋_GB2312"/>
          <w:sz w:val="32"/>
          <w:szCs w:val="32"/>
          <w:lang w:val="zh-CN"/>
        </w:rPr>
        <w:t>年</w:t>
      </w:r>
      <w:r>
        <w:rPr>
          <w:rFonts w:hint="eastAsia" w:ascii="仿宋_GB2312" w:eastAsia="仿宋_GB2312"/>
          <w:sz w:val="32"/>
          <w:szCs w:val="32"/>
        </w:rPr>
        <w:t>12月31日</w:t>
      </w:r>
      <w:r>
        <w:rPr>
          <w:rFonts w:hint="eastAsia" w:ascii="仿宋_GB2312" w:eastAsia="仿宋_GB2312"/>
          <w:sz w:val="32"/>
          <w:szCs w:val="32"/>
          <w:lang w:val="zh-CN"/>
        </w:rPr>
        <w:t>，</w:t>
      </w:r>
      <w:r>
        <w:rPr>
          <w:rFonts w:hint="eastAsia" w:ascii="仿宋_GB2312" w:eastAsia="仿宋_GB2312"/>
          <w:sz w:val="32"/>
          <w:szCs w:val="32"/>
        </w:rPr>
        <w:t>固定资产原值</w:t>
      </w:r>
      <w:r>
        <w:rPr>
          <w:rFonts w:hint="eastAsia" w:ascii="仿宋_GB2312" w:eastAsia="仿宋_GB2312"/>
          <w:sz w:val="32"/>
          <w:szCs w:val="32"/>
          <w:lang w:val="zh-CN"/>
        </w:rPr>
        <w:t>1,338.69</w:t>
      </w:r>
      <w:r>
        <w:rPr>
          <w:rFonts w:hint="eastAsia" w:ascii="仿宋_GB2312" w:eastAsia="仿宋_GB2312"/>
          <w:sz w:val="32"/>
          <w:szCs w:val="32"/>
        </w:rPr>
        <w:t>万元，房</w:t>
      </w:r>
      <w:r>
        <w:rPr>
          <w:rFonts w:hint="eastAsia" w:ascii="仿宋_GB2312" w:eastAsia="仿宋_GB2312"/>
          <w:sz w:val="32"/>
          <w:szCs w:val="32"/>
          <w:lang w:val="zh-CN"/>
        </w:rPr>
        <w:t>屋8</w:t>
      </w:r>
      <w:r>
        <w:rPr>
          <w:rFonts w:hint="eastAsia" w:ascii="仿宋_GB2312" w:eastAsia="仿宋_GB2312"/>
          <w:sz w:val="32"/>
          <w:szCs w:val="32"/>
        </w:rPr>
        <w:t>,</w:t>
      </w:r>
      <w:r>
        <w:rPr>
          <w:rFonts w:hint="eastAsia" w:ascii="仿宋_GB2312" w:eastAsia="仿宋_GB2312"/>
          <w:sz w:val="32"/>
          <w:szCs w:val="32"/>
          <w:lang w:val="zh-CN"/>
        </w:rPr>
        <w:t>493.24平方米，价值1,049.71万元。车辆0辆，价值0.00万元，其中：副部（省）级及以上领导用车0辆、主要</w:t>
      </w:r>
      <w:r>
        <w:rPr>
          <w:rFonts w:hint="eastAsia" w:ascii="仿宋_GB2312" w:eastAsia="仿宋_GB2312"/>
          <w:sz w:val="32"/>
          <w:szCs w:val="32"/>
        </w:rPr>
        <w:t>负责人</w:t>
      </w:r>
      <w:r>
        <w:rPr>
          <w:rFonts w:hint="eastAsia" w:ascii="仿宋_GB2312" w:eastAsia="仿宋_GB2312"/>
          <w:sz w:val="32"/>
          <w:szCs w:val="32"/>
          <w:lang w:val="zh-CN"/>
        </w:rPr>
        <w:t>用车0辆、机要通信用车0辆、应急保障用车0辆、执法执勤用车0辆、特种专业技术用车0辆、离退休干部</w:t>
      </w:r>
      <w:r>
        <w:rPr>
          <w:rFonts w:hint="eastAsia" w:ascii="仿宋_GB2312" w:eastAsia="仿宋_GB2312"/>
          <w:sz w:val="32"/>
          <w:szCs w:val="32"/>
        </w:rPr>
        <w:t>服务</w:t>
      </w:r>
      <w:r>
        <w:rPr>
          <w:rFonts w:hint="eastAsia" w:ascii="仿宋_GB2312" w:eastAsia="仿宋_GB2312"/>
          <w:sz w:val="32"/>
          <w:szCs w:val="32"/>
          <w:lang w:val="zh-CN"/>
        </w:rPr>
        <w:t>用车0辆、其他用车0辆，其他用车主要是：</w:t>
      </w:r>
      <w:r>
        <w:rPr>
          <w:rFonts w:hint="eastAsia" w:ascii="仿宋_GB2312" w:eastAsia="仿宋_GB2312"/>
          <w:sz w:val="32"/>
          <w:szCs w:val="32"/>
        </w:rPr>
        <w:t>单位无其他用车</w:t>
      </w:r>
      <w:r>
        <w:rPr>
          <w:rFonts w:hint="eastAsia" w:ascii="仿宋_GB2312" w:eastAsia="仿宋_GB2312"/>
          <w:sz w:val="32"/>
          <w:szCs w:val="32"/>
          <w:lang w:val="zh-CN"/>
        </w:rPr>
        <w:t>；单价100万元（含）以上设备（不含车辆）0</w:t>
      </w:r>
      <w:r>
        <w:rPr>
          <w:rFonts w:hint="eastAsia" w:ascii="仿宋_GB2312" w:eastAsia="仿宋_GB2312"/>
          <w:sz w:val="32"/>
          <w:szCs w:val="32"/>
        </w:rPr>
        <w:t>台（</w:t>
      </w:r>
      <w:r>
        <w:rPr>
          <w:rFonts w:hint="eastAsia" w:ascii="仿宋_GB2312" w:eastAsia="仿宋_GB2312"/>
          <w:sz w:val="32"/>
          <w:szCs w:val="32"/>
          <w:lang w:val="zh-CN"/>
        </w:rPr>
        <w:t>套）。</w:t>
      </w:r>
    </w:p>
    <w:p>
      <w:pPr>
        <w:ind w:firstLine="640" w:firstLineChars="200"/>
        <w:jc w:val="left"/>
        <w:outlineLvl w:val="1"/>
        <w:rPr>
          <w:rFonts w:hint="eastAsia" w:ascii="黑体" w:hAnsi="黑体" w:eastAsia="黑体" w:cs="宋体"/>
          <w:bCs/>
          <w:kern w:val="0"/>
          <w:sz w:val="32"/>
          <w:szCs w:val="32"/>
        </w:rPr>
      </w:pPr>
      <w:bookmarkStart w:id="28" w:name="_Toc11283"/>
      <w:bookmarkStart w:id="29" w:name="_Toc435"/>
      <w:r>
        <w:rPr>
          <w:rFonts w:hint="eastAsia" w:ascii="黑体" w:hAnsi="黑体" w:eastAsia="黑体" w:cs="宋体"/>
          <w:bCs/>
          <w:kern w:val="0"/>
          <w:sz w:val="32"/>
          <w:szCs w:val="32"/>
        </w:rPr>
        <w:t>十一、预算绩效的情况说明</w:t>
      </w:r>
      <w:bookmarkEnd w:id="28"/>
      <w:bookmarkEnd w:id="29"/>
    </w:p>
    <w:p>
      <w:pPr>
        <w:ind w:firstLine="640" w:firstLineChars="200"/>
        <w:jc w:val="left"/>
        <w:rPr>
          <w:rFonts w:ascii="仿宋_GB2312" w:eastAsia="仿宋_GB2312"/>
          <w:sz w:val="32"/>
          <w:szCs w:val="32"/>
        </w:rPr>
      </w:pPr>
      <w:r>
        <w:rPr>
          <w:rFonts w:hint="eastAsia" w:ascii="仿宋_GB2312" w:eastAsia="仿宋_GB2312"/>
          <w:sz w:val="32"/>
          <w:szCs w:val="32"/>
        </w:rPr>
        <w:t>根据预算绩效管理要求，我单位2023年度</w:t>
      </w:r>
      <w:r>
        <w:rPr>
          <w:rFonts w:hint="eastAsia" w:ascii="仿宋_GB2312" w:hAnsi="仿宋_GB2312" w:eastAsia="仿宋_GB2312" w:cs="仿宋_GB2312"/>
          <w:kern w:val="0"/>
          <w:sz w:val="32"/>
          <w:szCs w:val="32"/>
        </w:rPr>
        <w:t>预算绩效管理整体支出绩效自评表</w:t>
      </w:r>
      <w:r>
        <w:rPr>
          <w:rFonts w:hint="eastAsia" w:ascii="仿宋_GB2312" w:eastAsia="仿宋_GB2312"/>
          <w:sz w:val="32"/>
          <w:szCs w:val="32"/>
        </w:rPr>
        <w:t>1</w:t>
      </w:r>
      <w:r>
        <w:rPr>
          <w:rFonts w:hint="eastAsia" w:ascii="仿宋_GB2312" w:hAnsi="仿宋_GB2312" w:eastAsia="仿宋_GB2312" w:cs="仿宋_GB2312"/>
          <w:kern w:val="0"/>
          <w:sz w:val="32"/>
          <w:szCs w:val="32"/>
        </w:rPr>
        <w:t>个，全年</w:t>
      </w:r>
      <w:r>
        <w:rPr>
          <w:rFonts w:hint="eastAsia" w:ascii="仿宋_GB2312" w:eastAsia="仿宋_GB2312"/>
          <w:sz w:val="32"/>
          <w:szCs w:val="32"/>
        </w:rPr>
        <w:t>预算总额1,771.30万元，实际执行总额1,736.74万元</w:t>
      </w:r>
      <w:r>
        <w:rPr>
          <w:rFonts w:hint="eastAsia" w:ascii="仿宋_GB2312" w:hAnsi="仿宋_GB2312" w:eastAsia="仿宋_GB2312" w:cs="仿宋_GB2312"/>
          <w:kern w:val="0"/>
          <w:sz w:val="32"/>
          <w:szCs w:val="32"/>
        </w:rPr>
        <w:t>；</w:t>
      </w:r>
      <w:r>
        <w:rPr>
          <w:rFonts w:hint="eastAsia" w:ascii="仿宋_GB2312" w:eastAsia="仿宋_GB2312"/>
          <w:sz w:val="32"/>
          <w:szCs w:val="32"/>
        </w:rPr>
        <w:t>预算绩效评价项目0个，全年预算数0.00万元，全年执行数0.00万元。预算绩效管理取得的成效：一是我单位通过加强预算收支管理，不断建立健全内部管理制度，梳理内部管理流程，部门整体支出管理情况得到提升；二是履职效能方面，我单位完成了2023年教育教学计划，得到了广大家长极大的认可和一致好评。发现的问题及原因：一是预算编制工作有待细化。预算编制不够明确和细化，预算编制的合理性需要提高；二是预算执行力度还要进一步加强。下一步改进措施：一是细化预算编制工作，认真做好预算的编制。进一步加强单位内部机构各处室的预算管理意识，严格按照预算编制的相关制度和要求进行预算编制，提高预算编制的科学性、严谨性和可控性。加强内部预算编制的审核和预算控制指标的下达；二是加强财务管理，严格财务审核。加强单位财务管理，健全单位财务管理制度体系，规范单位财务行为。在费用报账支付时，按照预算规定的费用项目和用途进行资金使用审核、列报支付、财务核算，杜绝超支现象的发生。具体项目自评情况附绩效自评表及自评报告。</w:t>
      </w:r>
    </w:p>
    <w:tbl>
      <w:tblPr>
        <w:tblStyle w:val="9"/>
        <w:tblW w:w="5000" w:type="pct"/>
        <w:jc w:val="center"/>
        <w:tblLayout w:type="fixed"/>
        <w:tblCellMar>
          <w:top w:w="0" w:type="dxa"/>
          <w:left w:w="108" w:type="dxa"/>
          <w:bottom w:w="0" w:type="dxa"/>
          <w:right w:w="108" w:type="dxa"/>
        </w:tblCellMar>
      </w:tblPr>
      <w:tblGrid>
        <w:gridCol w:w="1436"/>
        <w:gridCol w:w="991"/>
        <w:gridCol w:w="1275"/>
        <w:gridCol w:w="1236"/>
        <w:gridCol w:w="1016"/>
        <w:gridCol w:w="793"/>
        <w:gridCol w:w="887"/>
        <w:gridCol w:w="888"/>
      </w:tblGrid>
      <w:tr>
        <w:tblPrEx>
          <w:tblCellMar>
            <w:top w:w="0" w:type="dxa"/>
            <w:left w:w="108" w:type="dxa"/>
            <w:bottom w:w="0" w:type="dxa"/>
            <w:right w:w="108" w:type="dxa"/>
          </w:tblCellMar>
        </w:tblPrEx>
        <w:trPr>
          <w:trHeight w:val="522" w:hRule="atLeast"/>
          <w:jc w:val="center"/>
        </w:trPr>
        <w:tc>
          <w:tcPr>
            <w:tcW w:w="8522" w:type="dxa"/>
            <w:gridSpan w:val="8"/>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部门（单位）整体支出绩效目标自评表</w:t>
            </w:r>
          </w:p>
        </w:tc>
      </w:tr>
      <w:tr>
        <w:tblPrEx>
          <w:tblCellMar>
            <w:top w:w="0" w:type="dxa"/>
            <w:left w:w="108" w:type="dxa"/>
            <w:bottom w:w="0" w:type="dxa"/>
            <w:right w:w="108" w:type="dxa"/>
          </w:tblCellMar>
        </w:tblPrEx>
        <w:trPr>
          <w:trHeight w:val="360" w:hRule="atLeast"/>
          <w:jc w:val="center"/>
        </w:trPr>
        <w:tc>
          <w:tcPr>
            <w:tcW w:w="8522" w:type="dxa"/>
            <w:gridSpan w:val="8"/>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（2023年度）</w:t>
            </w:r>
          </w:p>
        </w:tc>
      </w:tr>
      <w:tr>
        <w:tblPrEx>
          <w:tblCellMar>
            <w:top w:w="0" w:type="dxa"/>
            <w:left w:w="108" w:type="dxa"/>
            <w:bottom w:w="0" w:type="dxa"/>
            <w:right w:w="108" w:type="dxa"/>
          </w:tblCellMar>
        </w:tblPrEx>
        <w:trPr>
          <w:trHeight w:val="660" w:hRule="atLeast"/>
          <w:jc w:val="center"/>
        </w:trPr>
        <w:tc>
          <w:tcPr>
            <w:tcW w:w="14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部门（单位）名称</w:t>
            </w:r>
          </w:p>
        </w:tc>
        <w:tc>
          <w:tcPr>
            <w:tcW w:w="7086"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木垒哈萨克自治县东城镇中心学校</w:t>
            </w:r>
          </w:p>
        </w:tc>
      </w:tr>
      <w:tr>
        <w:tblPrEx>
          <w:tblCellMar>
            <w:top w:w="0" w:type="dxa"/>
            <w:left w:w="108" w:type="dxa"/>
            <w:bottom w:w="0" w:type="dxa"/>
            <w:right w:w="108" w:type="dxa"/>
          </w:tblCellMar>
        </w:tblPrEx>
        <w:trPr>
          <w:trHeight w:val="570" w:hRule="atLeast"/>
          <w:jc w:val="center"/>
        </w:trPr>
        <w:tc>
          <w:tcPr>
            <w:tcW w:w="14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部门资金（万元）</w:t>
            </w: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资金来源</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年初预算数</w:t>
            </w:r>
          </w:p>
        </w:tc>
        <w:tc>
          <w:tcPr>
            <w:tcW w:w="123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全年预算数</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全年执行数</w:t>
            </w: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分值权重</w:t>
            </w:r>
          </w:p>
        </w:tc>
        <w:tc>
          <w:tcPr>
            <w:tcW w:w="88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执行率</w:t>
            </w:r>
          </w:p>
        </w:tc>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得分</w:t>
            </w:r>
          </w:p>
        </w:tc>
      </w:tr>
      <w:tr>
        <w:tblPrEx>
          <w:tblCellMar>
            <w:top w:w="0" w:type="dxa"/>
            <w:left w:w="108" w:type="dxa"/>
            <w:bottom w:w="0" w:type="dxa"/>
            <w:right w:w="108" w:type="dxa"/>
          </w:tblCellMar>
        </w:tblPrEx>
        <w:trPr>
          <w:trHeight w:val="880" w:hRule="atLeast"/>
          <w:jc w:val="center"/>
        </w:trPr>
        <w:tc>
          <w:tcPr>
            <w:tcW w:w="14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中央安排</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25.58</w:t>
            </w:r>
          </w:p>
        </w:tc>
        <w:tc>
          <w:tcPr>
            <w:tcW w:w="123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25.58</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25.58</w:t>
            </w: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88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94.22%</w:t>
            </w:r>
          </w:p>
        </w:tc>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r>
      <w:tr>
        <w:tblPrEx>
          <w:tblCellMar>
            <w:top w:w="0" w:type="dxa"/>
            <w:left w:w="108" w:type="dxa"/>
            <w:bottom w:w="0" w:type="dxa"/>
            <w:right w:w="108" w:type="dxa"/>
          </w:tblCellMar>
        </w:tblPrEx>
        <w:trPr>
          <w:trHeight w:val="880" w:hRule="atLeast"/>
          <w:jc w:val="center"/>
        </w:trPr>
        <w:tc>
          <w:tcPr>
            <w:tcW w:w="14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自治区安排</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5.20</w:t>
            </w:r>
          </w:p>
        </w:tc>
        <w:tc>
          <w:tcPr>
            <w:tcW w:w="123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5.20</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5.20</w:t>
            </w: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88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r>
      <w:tr>
        <w:tblPrEx>
          <w:tblCellMar>
            <w:top w:w="0" w:type="dxa"/>
            <w:left w:w="108" w:type="dxa"/>
            <w:bottom w:w="0" w:type="dxa"/>
            <w:right w:w="108" w:type="dxa"/>
          </w:tblCellMar>
        </w:tblPrEx>
        <w:trPr>
          <w:trHeight w:val="880" w:hRule="atLeast"/>
          <w:jc w:val="center"/>
        </w:trPr>
        <w:tc>
          <w:tcPr>
            <w:tcW w:w="14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地（州、市）安排</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sz w:val="20"/>
                <w:szCs w:val="20"/>
              </w:rPr>
              <w:t>0.00</w:t>
            </w:r>
          </w:p>
        </w:tc>
        <w:tc>
          <w:tcPr>
            <w:tcW w:w="123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sz w:val="20"/>
                <w:szCs w:val="20"/>
              </w:rPr>
              <w:t>0.00</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sz w:val="20"/>
                <w:szCs w:val="20"/>
              </w:rPr>
              <w:t>0.00</w:t>
            </w: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88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r>
      <w:tr>
        <w:tblPrEx>
          <w:tblCellMar>
            <w:top w:w="0" w:type="dxa"/>
            <w:left w:w="108" w:type="dxa"/>
            <w:bottom w:w="0" w:type="dxa"/>
            <w:right w:w="108" w:type="dxa"/>
          </w:tblCellMar>
        </w:tblPrEx>
        <w:trPr>
          <w:trHeight w:val="880" w:hRule="atLeast"/>
          <w:jc w:val="center"/>
        </w:trPr>
        <w:tc>
          <w:tcPr>
            <w:tcW w:w="14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bookmarkStart w:id="48" w:name="_GoBack" w:colFirst="5" w:colLast="7"/>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县（市、区）安排</w:t>
            </w: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1,627.14</w:t>
            </w:r>
          </w:p>
        </w:tc>
        <w:tc>
          <w:tcPr>
            <w:tcW w:w="12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1,740.52</w:t>
            </w:r>
          </w:p>
        </w:tc>
        <w:tc>
          <w:tcPr>
            <w:tcW w:w="10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1,705.96</w:t>
            </w: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r>
              <w:rPr>
                <w:rFonts w:hint="eastAsia"/>
              </w:rPr>
              <w:t>-</w:t>
            </w:r>
          </w:p>
        </w:tc>
        <w:tc>
          <w:tcPr>
            <w:tcW w:w="88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r>
              <w:rPr>
                <w:rFonts w:hint="eastAsia"/>
              </w:rPr>
              <w:t>-</w:t>
            </w:r>
          </w:p>
        </w:tc>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r>
              <w:rPr>
                <w:rFonts w:hint="eastAsia"/>
              </w:rPr>
              <w:t>-</w:t>
            </w:r>
          </w:p>
        </w:tc>
      </w:tr>
      <w:tr>
        <w:tblPrEx>
          <w:tblCellMar>
            <w:top w:w="0" w:type="dxa"/>
            <w:left w:w="108" w:type="dxa"/>
            <w:bottom w:w="0" w:type="dxa"/>
            <w:right w:w="108" w:type="dxa"/>
          </w:tblCellMar>
        </w:tblPrEx>
        <w:trPr>
          <w:trHeight w:val="880" w:hRule="atLeast"/>
          <w:jc w:val="center"/>
        </w:trPr>
        <w:tc>
          <w:tcPr>
            <w:tcW w:w="14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其他资金</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sz w:val="20"/>
                <w:szCs w:val="20"/>
              </w:rPr>
              <w:t>0.00</w:t>
            </w:r>
          </w:p>
        </w:tc>
        <w:tc>
          <w:tcPr>
            <w:tcW w:w="123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sz w:val="20"/>
                <w:szCs w:val="20"/>
              </w:rPr>
              <w:t>0.00</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0.00</w:t>
            </w: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r>
              <w:rPr>
                <w:rFonts w:hint="eastAsia"/>
              </w:rPr>
              <w:t>-</w:t>
            </w:r>
          </w:p>
        </w:tc>
        <w:tc>
          <w:tcPr>
            <w:tcW w:w="88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r>
              <w:rPr>
                <w:rFonts w:hint="eastAsia"/>
              </w:rPr>
              <w:t>-</w:t>
            </w:r>
          </w:p>
        </w:tc>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r>
              <w:rPr>
                <w:rFonts w:hint="eastAsia"/>
              </w:rPr>
              <w:t>-</w:t>
            </w:r>
          </w:p>
        </w:tc>
      </w:tr>
      <w:bookmarkEnd w:id="48"/>
      <w:tr>
        <w:tblPrEx>
          <w:tblCellMar>
            <w:top w:w="0" w:type="dxa"/>
            <w:left w:w="108" w:type="dxa"/>
            <w:bottom w:w="0" w:type="dxa"/>
            <w:right w:w="108" w:type="dxa"/>
          </w:tblCellMar>
        </w:tblPrEx>
        <w:trPr>
          <w:trHeight w:val="880" w:hRule="atLeast"/>
          <w:jc w:val="center"/>
        </w:trPr>
        <w:tc>
          <w:tcPr>
            <w:tcW w:w="14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合计</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1,657.92</w:t>
            </w:r>
          </w:p>
        </w:tc>
        <w:tc>
          <w:tcPr>
            <w:tcW w:w="123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1,771.30</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1,736.74</w:t>
            </w: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88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r>
      <w:tr>
        <w:tblPrEx>
          <w:tblCellMar>
            <w:top w:w="0" w:type="dxa"/>
            <w:left w:w="108" w:type="dxa"/>
            <w:bottom w:w="0" w:type="dxa"/>
            <w:right w:w="108" w:type="dxa"/>
          </w:tblCellMar>
        </w:tblPrEx>
        <w:trPr>
          <w:trHeight w:val="705" w:hRule="atLeast"/>
          <w:jc w:val="center"/>
        </w:trPr>
        <w:tc>
          <w:tcPr>
            <w:tcW w:w="14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年度总体目标</w:t>
            </w:r>
          </w:p>
        </w:tc>
        <w:tc>
          <w:tcPr>
            <w:tcW w:w="3502"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预期目标</w:t>
            </w:r>
          </w:p>
        </w:tc>
        <w:tc>
          <w:tcPr>
            <w:tcW w:w="3584"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实际完成情况</w:t>
            </w:r>
          </w:p>
        </w:tc>
      </w:tr>
      <w:tr>
        <w:tblPrEx>
          <w:tblCellMar>
            <w:top w:w="0" w:type="dxa"/>
            <w:left w:w="108" w:type="dxa"/>
            <w:bottom w:w="0" w:type="dxa"/>
            <w:right w:w="108" w:type="dxa"/>
          </w:tblCellMar>
        </w:tblPrEx>
        <w:trPr>
          <w:trHeight w:val="2000" w:hRule="atLeast"/>
          <w:jc w:val="center"/>
        </w:trPr>
        <w:tc>
          <w:tcPr>
            <w:tcW w:w="14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350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 xml:space="preserve">目标1：宣传贯彻执行党和国家的教育方针、政策、法律法规等坚持依法执教、依法治学，贯彻执行县教育局的行政规章制度； </w:t>
            </w: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 xml:space="preserve">目标2：组织开展本校的教育科学科研和教育教学改革，全力推进素质教育实施； </w:t>
            </w: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目标3：按照义务教育课程计划，开齐课程，开足课时，认真实施小学的教育教学管理，全面推进素质教育，全面提高教育教学质量。</w:t>
            </w:r>
          </w:p>
        </w:tc>
        <w:tc>
          <w:tcPr>
            <w:tcW w:w="358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截止2023年12月31日，我单位已完成宣传义务教育入学数量172人，学前教育入学数量42人，组织开展本校的教育科学科研和教育教学改革，全力推进素质教育实施；按照义务教育课程计划，开齐课程，开足课时，认真实施小学的教育教学管理，全面推进素质教育，全面提高教育教学质量； 及时、足额的发放在职职工工资、缴纳社保等人员经费、离退休人员交通费、独生子女奖励金、保障学校的正常运行。</w:t>
            </w:r>
          </w:p>
        </w:tc>
      </w:tr>
      <w:tr>
        <w:tblPrEx>
          <w:tblCellMar>
            <w:top w:w="0" w:type="dxa"/>
            <w:left w:w="108" w:type="dxa"/>
            <w:bottom w:w="0" w:type="dxa"/>
            <w:right w:w="108" w:type="dxa"/>
          </w:tblCellMar>
        </w:tblPrEx>
        <w:trPr>
          <w:trHeight w:val="580" w:hRule="atLeast"/>
          <w:jc w:val="center"/>
        </w:trPr>
        <w:tc>
          <w:tcPr>
            <w:tcW w:w="143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一级指标</w:t>
            </w: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二级指标</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三级指标</w:t>
            </w:r>
          </w:p>
        </w:tc>
        <w:tc>
          <w:tcPr>
            <w:tcW w:w="123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预期指标值</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指标值设定依据</w:t>
            </w: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分值权重</w:t>
            </w:r>
          </w:p>
        </w:tc>
        <w:tc>
          <w:tcPr>
            <w:tcW w:w="88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实际完成指标值</w:t>
            </w:r>
          </w:p>
        </w:tc>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得分</w:t>
            </w:r>
          </w:p>
        </w:tc>
      </w:tr>
      <w:tr>
        <w:tblPrEx>
          <w:tblCellMar>
            <w:top w:w="0" w:type="dxa"/>
            <w:left w:w="108" w:type="dxa"/>
            <w:bottom w:w="0" w:type="dxa"/>
            <w:right w:w="108" w:type="dxa"/>
          </w:tblCellMar>
        </w:tblPrEx>
        <w:trPr>
          <w:trHeight w:val="740" w:hRule="atLeast"/>
          <w:jc w:val="center"/>
        </w:trPr>
        <w:tc>
          <w:tcPr>
            <w:tcW w:w="143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运行成本</w:t>
            </w: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数量指标</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保障办公人员数量</w:t>
            </w:r>
          </w:p>
        </w:tc>
        <w:tc>
          <w:tcPr>
            <w:tcW w:w="123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&gt;=80人</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木垒哈萨克自治县东城镇中心学校机构改革方案</w:t>
            </w: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5</w:t>
            </w:r>
          </w:p>
        </w:tc>
        <w:tc>
          <w:tcPr>
            <w:tcW w:w="88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80人</w:t>
            </w:r>
          </w:p>
        </w:tc>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5</w:t>
            </w:r>
          </w:p>
        </w:tc>
      </w:tr>
      <w:tr>
        <w:tblPrEx>
          <w:tblCellMar>
            <w:top w:w="0" w:type="dxa"/>
            <w:left w:w="108" w:type="dxa"/>
            <w:bottom w:w="0" w:type="dxa"/>
            <w:right w:w="108" w:type="dxa"/>
          </w:tblCellMar>
        </w:tblPrEx>
        <w:trPr>
          <w:trHeight w:val="740" w:hRule="atLeast"/>
          <w:jc w:val="center"/>
        </w:trPr>
        <w:tc>
          <w:tcPr>
            <w:tcW w:w="143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管理效率</w:t>
            </w: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时效指标</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各类考试完成及时率</w:t>
            </w:r>
          </w:p>
        </w:tc>
        <w:tc>
          <w:tcPr>
            <w:tcW w:w="123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&gt;=100%</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木垒哈萨克自治县东城镇中心学校机构改革方案</w:t>
            </w: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88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r>
      <w:tr>
        <w:tblPrEx>
          <w:tblCellMar>
            <w:top w:w="0" w:type="dxa"/>
            <w:left w:w="108" w:type="dxa"/>
            <w:bottom w:w="0" w:type="dxa"/>
            <w:right w:w="108" w:type="dxa"/>
          </w:tblCellMar>
        </w:tblPrEx>
        <w:trPr>
          <w:trHeight w:val="740" w:hRule="atLeast"/>
          <w:jc w:val="center"/>
        </w:trPr>
        <w:tc>
          <w:tcPr>
            <w:tcW w:w="14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履职效能</w:t>
            </w:r>
          </w:p>
        </w:tc>
        <w:tc>
          <w:tcPr>
            <w:tcW w:w="99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数量指标</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资助学生人数</w:t>
            </w:r>
          </w:p>
        </w:tc>
        <w:tc>
          <w:tcPr>
            <w:tcW w:w="123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&gt;=96人</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木垒县东城镇中心学校2023年工作计划</w:t>
            </w: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88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106人</w:t>
            </w:r>
          </w:p>
        </w:tc>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r>
      <w:tr>
        <w:tblPrEx>
          <w:tblCellMar>
            <w:top w:w="0" w:type="dxa"/>
            <w:left w:w="108" w:type="dxa"/>
            <w:bottom w:w="0" w:type="dxa"/>
            <w:right w:w="108" w:type="dxa"/>
          </w:tblCellMar>
        </w:tblPrEx>
        <w:trPr>
          <w:trHeight w:val="740" w:hRule="atLeast"/>
          <w:jc w:val="center"/>
        </w:trPr>
        <w:tc>
          <w:tcPr>
            <w:tcW w:w="14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9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开展教师培训数量</w:t>
            </w:r>
          </w:p>
        </w:tc>
        <w:tc>
          <w:tcPr>
            <w:tcW w:w="123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&gt;=3次</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木垒县东城镇中心学校2024年工作计划</w:t>
            </w: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88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5次</w:t>
            </w:r>
          </w:p>
        </w:tc>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r>
      <w:tr>
        <w:tblPrEx>
          <w:tblCellMar>
            <w:top w:w="0" w:type="dxa"/>
            <w:left w:w="108" w:type="dxa"/>
            <w:bottom w:w="0" w:type="dxa"/>
            <w:right w:w="108" w:type="dxa"/>
          </w:tblCellMar>
        </w:tblPrEx>
        <w:trPr>
          <w:trHeight w:val="740" w:hRule="atLeast"/>
          <w:jc w:val="center"/>
        </w:trPr>
        <w:tc>
          <w:tcPr>
            <w:tcW w:w="14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99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质量指标</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资金拨付及时率</w:t>
            </w:r>
          </w:p>
        </w:tc>
        <w:tc>
          <w:tcPr>
            <w:tcW w:w="123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木垒县东城镇中心学校2023年工作计划</w:t>
            </w: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88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r>
      <w:tr>
        <w:tblPrEx>
          <w:tblCellMar>
            <w:top w:w="0" w:type="dxa"/>
            <w:left w:w="108" w:type="dxa"/>
            <w:bottom w:w="0" w:type="dxa"/>
            <w:right w:w="108" w:type="dxa"/>
          </w:tblCellMar>
        </w:tblPrEx>
        <w:trPr>
          <w:trHeight w:val="740" w:hRule="atLeast"/>
          <w:jc w:val="center"/>
        </w:trPr>
        <w:tc>
          <w:tcPr>
            <w:tcW w:w="14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9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控辍保学率</w:t>
            </w:r>
          </w:p>
        </w:tc>
        <w:tc>
          <w:tcPr>
            <w:tcW w:w="123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=0%</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木垒县东城镇中心学校2023年工作计划</w:t>
            </w: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88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0%</w:t>
            </w:r>
          </w:p>
        </w:tc>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r>
      <w:tr>
        <w:tblPrEx>
          <w:tblCellMar>
            <w:top w:w="0" w:type="dxa"/>
            <w:left w:w="108" w:type="dxa"/>
            <w:bottom w:w="0" w:type="dxa"/>
            <w:right w:w="108" w:type="dxa"/>
          </w:tblCellMar>
        </w:tblPrEx>
        <w:trPr>
          <w:trHeight w:val="740" w:hRule="atLeast"/>
          <w:jc w:val="center"/>
        </w:trPr>
        <w:tc>
          <w:tcPr>
            <w:tcW w:w="14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99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时效指标</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助学金发放及时率</w:t>
            </w:r>
          </w:p>
        </w:tc>
        <w:tc>
          <w:tcPr>
            <w:tcW w:w="123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木垒县东城镇中心学校2023年工作计划</w:t>
            </w: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88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r>
      <w:tr>
        <w:tblPrEx>
          <w:tblCellMar>
            <w:top w:w="0" w:type="dxa"/>
            <w:left w:w="108" w:type="dxa"/>
            <w:bottom w:w="0" w:type="dxa"/>
            <w:right w:w="108" w:type="dxa"/>
          </w:tblCellMar>
        </w:tblPrEx>
        <w:trPr>
          <w:trHeight w:val="740" w:hRule="atLeast"/>
          <w:jc w:val="center"/>
        </w:trPr>
        <w:tc>
          <w:tcPr>
            <w:tcW w:w="14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9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教师培训合格率</w:t>
            </w:r>
          </w:p>
        </w:tc>
        <w:tc>
          <w:tcPr>
            <w:tcW w:w="123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&gt;=95%</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木垒县东城镇中心学校2023年工作计划</w:t>
            </w: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88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95%</w:t>
            </w:r>
          </w:p>
        </w:tc>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r>
      <w:tr>
        <w:tblPrEx>
          <w:tblCellMar>
            <w:top w:w="0" w:type="dxa"/>
            <w:left w:w="108" w:type="dxa"/>
            <w:bottom w:w="0" w:type="dxa"/>
            <w:right w:w="108" w:type="dxa"/>
          </w:tblCellMar>
        </w:tblPrEx>
        <w:trPr>
          <w:trHeight w:val="740" w:hRule="atLeast"/>
          <w:jc w:val="center"/>
        </w:trPr>
        <w:tc>
          <w:tcPr>
            <w:tcW w:w="14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数量指标</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各类培训及学习次数</w:t>
            </w:r>
          </w:p>
        </w:tc>
        <w:tc>
          <w:tcPr>
            <w:tcW w:w="123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&gt;=20次</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木垒县东城镇中心学校2023年工作计划</w:t>
            </w: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88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22次</w:t>
            </w:r>
          </w:p>
        </w:tc>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r>
      <w:tr>
        <w:tblPrEx>
          <w:tblCellMar>
            <w:top w:w="0" w:type="dxa"/>
            <w:left w:w="108" w:type="dxa"/>
            <w:bottom w:w="0" w:type="dxa"/>
            <w:right w:w="108" w:type="dxa"/>
          </w:tblCellMar>
        </w:tblPrEx>
        <w:trPr>
          <w:trHeight w:val="740" w:hRule="atLeast"/>
          <w:jc w:val="center"/>
        </w:trPr>
        <w:tc>
          <w:tcPr>
            <w:tcW w:w="143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社会效益</w:t>
            </w: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123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88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r>
      <w:tr>
        <w:tblPrEx>
          <w:tblCellMar>
            <w:top w:w="0" w:type="dxa"/>
            <w:left w:w="108" w:type="dxa"/>
            <w:bottom w:w="0" w:type="dxa"/>
            <w:right w:w="108" w:type="dxa"/>
          </w:tblCellMar>
        </w:tblPrEx>
        <w:trPr>
          <w:trHeight w:val="740" w:hRule="atLeast"/>
          <w:jc w:val="center"/>
        </w:trPr>
        <w:tc>
          <w:tcPr>
            <w:tcW w:w="143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可持续发展能力</w:t>
            </w: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123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88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r>
      <w:tr>
        <w:tblPrEx>
          <w:tblCellMar>
            <w:top w:w="0" w:type="dxa"/>
            <w:left w:w="108" w:type="dxa"/>
            <w:bottom w:w="0" w:type="dxa"/>
            <w:right w:w="108" w:type="dxa"/>
          </w:tblCellMar>
        </w:tblPrEx>
        <w:trPr>
          <w:trHeight w:val="740" w:hRule="atLeast"/>
          <w:jc w:val="center"/>
        </w:trPr>
        <w:tc>
          <w:tcPr>
            <w:tcW w:w="143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服务对象满意度</w:t>
            </w: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质量指标</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师生满意度</w:t>
            </w:r>
          </w:p>
        </w:tc>
        <w:tc>
          <w:tcPr>
            <w:tcW w:w="123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&gt;=95%</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木垒县东城镇中心学校2023年工作计划</w:t>
            </w: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5</w:t>
            </w:r>
          </w:p>
        </w:tc>
        <w:tc>
          <w:tcPr>
            <w:tcW w:w="88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95%</w:t>
            </w:r>
          </w:p>
        </w:tc>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5</w:t>
            </w:r>
          </w:p>
        </w:tc>
      </w:tr>
    </w:tbl>
    <w:p>
      <w:pPr>
        <w:ind w:firstLine="640" w:firstLineChars="200"/>
        <w:jc w:val="left"/>
        <w:rPr>
          <w:rFonts w:hint="eastAsia" w:ascii="黑体" w:hAnsi="黑体" w:eastAsia="黑体" w:cs="宋体"/>
          <w:bCs/>
          <w:kern w:val="0"/>
          <w:sz w:val="32"/>
          <w:szCs w:val="32"/>
        </w:rPr>
      </w:pPr>
      <w:r>
        <w:rPr>
          <w:rFonts w:hint="eastAsia" w:ascii="黑体" w:hAnsi="黑体" w:eastAsia="黑体" w:cs="宋体"/>
          <w:bCs/>
          <w:kern w:val="0"/>
          <w:sz w:val="32"/>
          <w:szCs w:val="32"/>
        </w:rPr>
        <w:t>十二、其他需说明的事项</w:t>
      </w:r>
    </w:p>
    <w:p>
      <w:pPr>
        <w:ind w:firstLine="640" w:firstLineChars="200"/>
        <w:jc w:val="left"/>
        <w:outlineLvl w:val="0"/>
        <w:rPr>
          <w:rFonts w:hint="eastAsia" w:ascii="仿宋_GB2312" w:hAnsi="仿宋_GB2312" w:eastAsia="仿宋_GB2312" w:cs="仿宋_GB2312"/>
          <w:kern w:val="0"/>
          <w:sz w:val="32"/>
          <w:szCs w:val="32"/>
        </w:rPr>
      </w:pPr>
      <w:bookmarkStart w:id="30" w:name="_Toc24143"/>
      <w:bookmarkStart w:id="31" w:name="_Toc3250"/>
      <w:r>
        <w:rPr>
          <w:rFonts w:hint="eastAsia" w:ascii="仿宋_GB2312" w:hAnsi="仿宋_GB2312" w:eastAsia="仿宋_GB2312" w:cs="仿宋_GB2312"/>
          <w:kern w:val="0"/>
          <w:sz w:val="32"/>
          <w:szCs w:val="32"/>
        </w:rPr>
        <w:t>我单位本年资金紧张未购买办公用品及设备。因此政府采购金额支出为0.00万元。其中授予中小企业合同金额、授予小微企业合同金额为0.00万元。</w:t>
      </w:r>
    </w:p>
    <w:p>
      <w:pPr>
        <w:ind w:firstLine="640" w:firstLineChars="200"/>
        <w:jc w:val="center"/>
        <w:outlineLvl w:val="0"/>
        <w:rPr>
          <w:rFonts w:hint="eastAsia" w:ascii="黑体" w:hAnsi="黑体" w:eastAsia="黑体"/>
          <w:sz w:val="32"/>
          <w:szCs w:val="32"/>
        </w:rPr>
      </w:pPr>
      <w:r>
        <w:rPr>
          <w:rFonts w:hint="eastAsia" w:ascii="黑体" w:hAnsi="黑体" w:eastAsia="黑体"/>
          <w:sz w:val="32"/>
          <w:szCs w:val="32"/>
        </w:rPr>
        <w:br w:type="page"/>
      </w:r>
      <w:r>
        <w:rPr>
          <w:rFonts w:hint="eastAsia" w:ascii="黑体" w:hAnsi="黑体" w:eastAsia="黑体"/>
          <w:sz w:val="32"/>
          <w:szCs w:val="32"/>
        </w:rPr>
        <w:t>第三部分 专业名词解释</w:t>
      </w:r>
      <w:bookmarkEnd w:id="30"/>
      <w:bookmarkEnd w:id="31"/>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ind w:firstLine="643" w:firstLineChars="200"/>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pPr>
        <w:ind w:firstLine="640" w:firstLineChars="200"/>
        <w:jc w:val="center"/>
        <w:outlineLvl w:val="0"/>
        <w:rPr>
          <w:rFonts w:hint="eastAsia"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第四部分 部门决算报表（见附表）</w:t>
      </w:r>
    </w:p>
    <w:p>
      <w:pPr>
        <w:ind w:firstLine="640" w:firstLineChars="200"/>
        <w:outlineLvl w:val="1"/>
        <w:rPr>
          <w:rFonts w:hint="eastAsia" w:ascii="黑体" w:hAnsi="黑体" w:eastAsia="仿宋_GB2312" w:cs="宋体"/>
          <w:bCs/>
          <w:kern w:val="0"/>
          <w:sz w:val="32"/>
          <w:szCs w:val="32"/>
        </w:rPr>
      </w:pPr>
      <w:bookmarkStart w:id="32" w:name="_Toc2183"/>
      <w:bookmarkStart w:id="33" w:name="_Toc6062"/>
      <w:r>
        <w:rPr>
          <w:rFonts w:hint="eastAsia" w:ascii="黑体" w:hAnsi="黑体" w:eastAsia="仿宋_GB2312" w:cs="宋体"/>
          <w:bCs/>
          <w:kern w:val="0"/>
          <w:sz w:val="32"/>
          <w:szCs w:val="32"/>
        </w:rPr>
        <w:t>一、《收入支出决算总表》</w:t>
      </w:r>
      <w:bookmarkEnd w:id="32"/>
      <w:bookmarkEnd w:id="33"/>
    </w:p>
    <w:p>
      <w:pPr>
        <w:ind w:firstLine="640" w:firstLineChars="200"/>
        <w:outlineLvl w:val="1"/>
        <w:rPr>
          <w:rFonts w:hint="eastAsia" w:ascii="黑体" w:hAnsi="黑体" w:eastAsia="仿宋_GB2312" w:cs="宋体"/>
          <w:bCs/>
          <w:kern w:val="0"/>
          <w:sz w:val="32"/>
          <w:szCs w:val="32"/>
        </w:rPr>
      </w:pPr>
      <w:bookmarkStart w:id="34" w:name="_Toc24532"/>
      <w:bookmarkStart w:id="35" w:name="_Toc30364"/>
      <w:r>
        <w:rPr>
          <w:rFonts w:hint="eastAsia" w:ascii="黑体" w:hAnsi="黑体" w:eastAsia="仿宋_GB2312" w:cs="宋体"/>
          <w:bCs/>
          <w:kern w:val="0"/>
          <w:sz w:val="32"/>
          <w:szCs w:val="32"/>
        </w:rPr>
        <w:t>二、《收入决算表》</w:t>
      </w:r>
      <w:bookmarkEnd w:id="34"/>
      <w:bookmarkEnd w:id="35"/>
    </w:p>
    <w:p>
      <w:pPr>
        <w:ind w:firstLine="640" w:firstLineChars="200"/>
        <w:outlineLvl w:val="1"/>
        <w:rPr>
          <w:rFonts w:hint="eastAsia" w:ascii="黑体" w:hAnsi="黑体" w:eastAsia="仿宋_GB2312" w:cs="宋体"/>
          <w:bCs/>
          <w:kern w:val="0"/>
          <w:sz w:val="32"/>
          <w:szCs w:val="32"/>
        </w:rPr>
      </w:pPr>
      <w:bookmarkStart w:id="36" w:name="_Toc21304"/>
      <w:bookmarkStart w:id="37" w:name="_Toc32434"/>
      <w:r>
        <w:rPr>
          <w:rFonts w:hint="eastAsia" w:ascii="黑体" w:hAnsi="黑体" w:eastAsia="仿宋_GB2312" w:cs="宋体"/>
          <w:bCs/>
          <w:kern w:val="0"/>
          <w:sz w:val="32"/>
          <w:szCs w:val="32"/>
        </w:rPr>
        <w:t>三、《支出决算表》</w:t>
      </w:r>
      <w:bookmarkEnd w:id="36"/>
      <w:bookmarkEnd w:id="37"/>
    </w:p>
    <w:p>
      <w:pPr>
        <w:ind w:firstLine="640" w:firstLineChars="200"/>
        <w:outlineLvl w:val="1"/>
        <w:rPr>
          <w:rFonts w:hint="eastAsia" w:ascii="黑体" w:hAnsi="黑体" w:eastAsia="仿宋_GB2312" w:cs="宋体"/>
          <w:bCs/>
          <w:kern w:val="0"/>
          <w:sz w:val="32"/>
          <w:szCs w:val="32"/>
        </w:rPr>
      </w:pPr>
      <w:bookmarkStart w:id="38" w:name="_Toc28786"/>
      <w:bookmarkStart w:id="39" w:name="_Toc14238"/>
      <w:r>
        <w:rPr>
          <w:rFonts w:hint="eastAsia" w:ascii="黑体" w:hAnsi="黑体" w:eastAsia="仿宋_GB2312" w:cs="宋体"/>
          <w:bCs/>
          <w:kern w:val="0"/>
          <w:sz w:val="32"/>
          <w:szCs w:val="32"/>
        </w:rPr>
        <w:t>四、《财政拨款收入支出决算总表》</w:t>
      </w:r>
      <w:bookmarkEnd w:id="38"/>
      <w:bookmarkEnd w:id="39"/>
    </w:p>
    <w:p>
      <w:pPr>
        <w:ind w:firstLine="640" w:firstLineChars="200"/>
        <w:outlineLvl w:val="1"/>
        <w:rPr>
          <w:rFonts w:hint="eastAsia" w:ascii="黑体" w:hAnsi="黑体" w:eastAsia="仿宋_GB2312" w:cs="宋体"/>
          <w:bCs/>
          <w:kern w:val="0"/>
          <w:sz w:val="32"/>
          <w:szCs w:val="32"/>
        </w:rPr>
      </w:pPr>
      <w:bookmarkStart w:id="40" w:name="_Toc14869"/>
      <w:bookmarkStart w:id="41" w:name="_Toc10347"/>
      <w:r>
        <w:rPr>
          <w:rFonts w:hint="eastAsia" w:ascii="黑体" w:hAnsi="黑体" w:eastAsia="仿宋_GB2312" w:cs="宋体"/>
          <w:bCs/>
          <w:kern w:val="0"/>
          <w:sz w:val="32"/>
          <w:szCs w:val="32"/>
        </w:rPr>
        <w:t>五、《一般公共预算财政拨款支出决算表》</w:t>
      </w:r>
      <w:bookmarkEnd w:id="40"/>
      <w:bookmarkEnd w:id="41"/>
    </w:p>
    <w:p>
      <w:pPr>
        <w:ind w:firstLine="640" w:firstLineChars="200"/>
        <w:outlineLvl w:val="1"/>
        <w:rPr>
          <w:rFonts w:hint="eastAsia" w:ascii="黑体" w:hAnsi="黑体" w:eastAsia="仿宋_GB2312" w:cs="宋体"/>
          <w:bCs/>
          <w:kern w:val="0"/>
          <w:sz w:val="32"/>
          <w:szCs w:val="32"/>
        </w:rPr>
      </w:pPr>
      <w:bookmarkStart w:id="42" w:name="_Toc8884"/>
      <w:bookmarkStart w:id="43" w:name="_Toc5626"/>
      <w:r>
        <w:rPr>
          <w:rFonts w:hint="eastAsia" w:ascii="黑体" w:hAnsi="黑体" w:eastAsia="仿宋_GB2312" w:cs="宋体"/>
          <w:bCs/>
          <w:kern w:val="0"/>
          <w:sz w:val="32"/>
          <w:szCs w:val="32"/>
        </w:rPr>
        <w:t>六、《一般公共预算财政拨款基本支出决算表》</w:t>
      </w:r>
      <w:bookmarkEnd w:id="42"/>
      <w:bookmarkEnd w:id="43"/>
    </w:p>
    <w:p>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七、</w:t>
      </w:r>
      <w:bookmarkStart w:id="44" w:name="_Toc32663"/>
      <w:bookmarkStart w:id="45" w:name="_Toc29106"/>
      <w:r>
        <w:rPr>
          <w:rFonts w:hint="eastAsia" w:ascii="黑体" w:hAnsi="黑体" w:eastAsia="仿宋_GB2312" w:cs="宋体"/>
          <w:bCs/>
          <w:kern w:val="0"/>
          <w:sz w:val="32"/>
          <w:szCs w:val="32"/>
        </w:rPr>
        <w:t>《财政拨款“三公”经费支出决算表》</w:t>
      </w:r>
      <w:bookmarkEnd w:id="44"/>
      <w:bookmarkEnd w:id="45"/>
    </w:p>
    <w:p>
      <w:pPr>
        <w:ind w:firstLine="640" w:firstLineChars="200"/>
        <w:outlineLvl w:val="1"/>
        <w:rPr>
          <w:rFonts w:hint="eastAsia" w:ascii="黑体" w:hAnsi="黑体" w:eastAsia="仿宋_GB2312" w:cs="宋体"/>
          <w:bCs/>
          <w:kern w:val="0"/>
          <w:sz w:val="32"/>
          <w:szCs w:val="32"/>
        </w:rPr>
      </w:pPr>
      <w:bookmarkStart w:id="46" w:name="_Toc5453"/>
      <w:bookmarkStart w:id="47" w:name="_Toc7643"/>
      <w:r>
        <w:rPr>
          <w:rFonts w:hint="eastAsia" w:ascii="黑体" w:hAnsi="黑体" w:eastAsia="仿宋_GB2312" w:cs="宋体"/>
          <w:bCs/>
          <w:kern w:val="0"/>
          <w:sz w:val="32"/>
          <w:szCs w:val="32"/>
        </w:rPr>
        <w:t>八、《政府性基金预算财政拨款收入支出决算表》</w:t>
      </w:r>
      <w:bookmarkEnd w:id="46"/>
      <w:bookmarkEnd w:id="47"/>
    </w:p>
    <w:p>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九、《国有资本经营预算财政拨款收入支出决算表》</w:t>
      </w:r>
    </w:p>
    <w:p>
      <w:pPr>
        <w:ind w:firstLine="640" w:firstLineChars="200"/>
        <w:rPr>
          <w:rFonts w:ascii="仿宋_GB2312" w:eastAsia="仿宋_GB2312"/>
          <w:sz w:val="32"/>
          <w:szCs w:val="32"/>
        </w:rPr>
      </w:pPr>
    </w:p>
    <w:p>
      <w:pPr>
        <w:ind w:firstLine="640" w:firstLineChars="200"/>
        <w:outlineLvl w:val="1"/>
        <w:rPr>
          <w:rFonts w:hint="eastAsia" w:ascii="黑体" w:hAnsi="黑体" w:eastAsia="黑体" w:cs="宋体"/>
          <w:bCs/>
          <w:kern w:val="0"/>
          <w:sz w:val="32"/>
          <w:szCs w:val="32"/>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YzZDQ1MzgxMjczNzMwZjc0NmVkMzY5NzhjMWY5MmQifQ=="/>
    <w:docVar w:name="KSO_WPS_MARK_KEY" w:val="41ee2a61-2d54-4f93-83be-afdb9a40d732"/>
  </w:docVars>
  <w:rsids>
    <w:rsidRoot w:val="0072060D"/>
    <w:rsid w:val="00012D1E"/>
    <w:rsid w:val="00213C59"/>
    <w:rsid w:val="00281FF5"/>
    <w:rsid w:val="003210CE"/>
    <w:rsid w:val="003759CF"/>
    <w:rsid w:val="0072060D"/>
    <w:rsid w:val="00821DD9"/>
    <w:rsid w:val="009D64DC"/>
    <w:rsid w:val="00B70D59"/>
    <w:rsid w:val="00C5752D"/>
    <w:rsid w:val="00C930E8"/>
    <w:rsid w:val="00CA7128"/>
    <w:rsid w:val="00F52A8D"/>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982214"/>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CC48C8"/>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EC7ECA"/>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6D10C1"/>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8F83FC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autoRedefine/>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jc w:val="left"/>
    </w:pPr>
    <w:rPr>
      <w:kern w:val="0"/>
      <w:sz w:val="24"/>
    </w:rPr>
  </w:style>
  <w:style w:type="character" w:styleId="11">
    <w:name w:val="Strong"/>
    <w:basedOn w:val="10"/>
    <w:autoRedefine/>
    <w:qFormat/>
    <w:uiPriority w:val="0"/>
    <w:rPr>
      <w:b/>
    </w:rPr>
  </w:style>
  <w:style w:type="paragraph" w:customStyle="1" w:styleId="12">
    <w:name w:val="WPSOffice手动目录 3"/>
    <w:autoRedefine/>
    <w:qFormat/>
    <w:uiPriority w:val="0"/>
    <w:pPr>
      <w:ind w:left="400" w:leftChars="400"/>
    </w:pPr>
    <w:rPr>
      <w:rFonts w:ascii="Times New Roman" w:hAnsi="Times New Roman" w:eastAsia="宋体" w:cs="Times New Roman"/>
      <w:lang w:val="en-US" w:eastAsia="zh-CN" w:bidi="ar-SA"/>
    </w:rPr>
  </w:style>
  <w:style w:type="paragraph" w:customStyle="1" w:styleId="13">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4">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18</Pages>
  <Words>6135</Words>
  <Characters>6985</Characters>
  <Lines>57</Lines>
  <Paragraphs>16</Paragraphs>
  <TotalTime>28</TotalTime>
  <ScaleCrop>false</ScaleCrop>
  <LinksUpToDate>false</LinksUpToDate>
  <CharactersWithSpaces>6998</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杜里里oppo</cp:lastModifiedBy>
  <dcterms:modified xsi:type="dcterms:W3CDTF">2024-09-03T02:35:28Z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D624B15633CD43C8BF9435464A96BF70</vt:lpwstr>
  </property>
</Properties>
</file>